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line="590" w:lineRule="exact"/>
        <w:ind w:firstLine="1760" w:firstLineChars="400"/>
        <w:jc w:val="both"/>
        <w:textAlignment w:val="baseline"/>
        <w:rPr>
          <w:rFonts w:hint="eastAsia" w:ascii="仿宋_GB2312" w:hAnsi="仿宋_GB2312" w:eastAsia="仿宋_GB2312" w:cs="仿宋_GB2312"/>
          <w:b w:val="0"/>
          <w:bCs w:val="0"/>
          <w:kern w:val="0"/>
          <w:sz w:val="44"/>
          <w:szCs w:val="44"/>
          <w:shd w:val="clear"/>
          <w:lang w:val="en-US" w:eastAsia="zh-CN"/>
        </w:rPr>
      </w:pPr>
      <w:r>
        <w:rPr>
          <w:rFonts w:hint="eastAsia" w:ascii="方正小标宋简体" w:hAnsi="方正小标宋简体" w:eastAsia="方正小标宋简体" w:cs="方正小标宋简体"/>
          <w:b w:val="0"/>
          <w:bCs w:val="0"/>
          <w:kern w:val="0"/>
          <w:sz w:val="44"/>
          <w:szCs w:val="44"/>
          <w:shd w:val="clear"/>
          <w:lang w:eastAsia="zh-CN"/>
        </w:rPr>
        <w:t>第一讲</w:t>
      </w:r>
      <w:r>
        <w:rPr>
          <w:rFonts w:hint="eastAsia" w:ascii="方正小标宋简体" w:hAnsi="方正小标宋简体" w:eastAsia="方正小标宋简体" w:cs="方正小标宋简体"/>
          <w:b w:val="0"/>
          <w:bCs w:val="0"/>
          <w:kern w:val="0"/>
          <w:sz w:val="44"/>
          <w:szCs w:val="44"/>
          <w:shd w:val="clear"/>
          <w:lang w:val="en-US" w:eastAsia="zh-CN"/>
        </w:rPr>
        <w:t xml:space="preserve"> </w:t>
      </w:r>
      <w:r>
        <w:rPr>
          <w:rFonts w:hint="eastAsia" w:ascii="仿宋_GB2312" w:hAnsi="仿宋_GB2312" w:eastAsia="仿宋_GB2312" w:cs="仿宋_GB2312"/>
          <w:b w:val="0"/>
          <w:bCs w:val="0"/>
          <w:kern w:val="0"/>
          <w:sz w:val="44"/>
          <w:szCs w:val="44"/>
          <w:shd w:val="clear"/>
          <w:lang w:val="en-US" w:eastAsia="zh-CN"/>
        </w:rPr>
        <w:t xml:space="preserve"> </w:t>
      </w:r>
      <w:r>
        <w:rPr>
          <w:rFonts w:hint="eastAsia" w:ascii="方正小标宋简体" w:hAnsi="方正小标宋简体" w:eastAsia="方正小标宋简体" w:cs="方正小标宋简体"/>
          <w:b w:val="0"/>
          <w:bCs w:val="0"/>
          <w:kern w:val="0"/>
          <w:sz w:val="44"/>
          <w:szCs w:val="44"/>
          <w:shd w:val="clear"/>
        </w:rPr>
        <w:t>阿尔茨海默病</w:t>
      </w:r>
      <w:r>
        <w:rPr>
          <w:rFonts w:hint="eastAsia" w:ascii="方正小标宋简体" w:hAnsi="方正小标宋简体" w:eastAsia="方正小标宋简体" w:cs="方正小标宋简体"/>
          <w:b w:val="0"/>
          <w:bCs w:val="0"/>
          <w:kern w:val="0"/>
          <w:sz w:val="44"/>
          <w:szCs w:val="44"/>
          <w:shd w:val="clear"/>
          <w:lang w:val="en-US" w:eastAsia="zh-CN"/>
        </w:rPr>
        <w:t>诊疗</w:t>
      </w:r>
    </w:p>
    <w:p>
      <w:pPr>
        <w:keepNext w:val="0"/>
        <w:keepLines w:val="0"/>
        <w:pageBreakBefore w:val="0"/>
        <w:widowControl w:val="0"/>
        <w:kinsoku/>
        <w:wordWrap/>
        <w:overflowPunct/>
        <w:topLinePunct w:val="0"/>
        <w:autoSpaceDE/>
        <w:autoSpaceDN/>
        <w:bidi w:val="0"/>
        <w:adjustRightInd/>
        <w:snapToGrid/>
        <w:spacing w:line="590" w:lineRule="exact"/>
        <w:ind w:right="1280" w:firstLine="1920" w:firstLineChars="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福建医科大学附属</w:t>
      </w:r>
      <w:r>
        <w:rPr>
          <w:rFonts w:hint="eastAsia" w:ascii="仿宋_GB2312" w:hAnsi="仿宋_GB2312" w:eastAsia="仿宋_GB2312" w:cs="仿宋_GB2312"/>
          <w:sz w:val="32"/>
          <w:szCs w:val="32"/>
          <w:lang w:val="en-US" w:eastAsia="zh-CN"/>
        </w:rPr>
        <w:t>协和</w:t>
      </w:r>
      <w:r>
        <w:rPr>
          <w:rFonts w:hint="eastAsia" w:ascii="仿宋_GB2312" w:hAnsi="仿宋_GB2312" w:eastAsia="仿宋_GB2312" w:cs="仿宋_GB2312"/>
          <w:sz w:val="32"/>
          <w:szCs w:val="32"/>
        </w:rPr>
        <w:t>医院</w:t>
      </w:r>
      <w:r>
        <w:rPr>
          <w:rFonts w:hint="eastAsia" w:ascii="仿宋_GB2312" w:hAnsi="仿宋_GB2312" w:eastAsia="仿宋_GB2312" w:cs="仿宋_GB2312"/>
          <w:sz w:val="32"/>
          <w:szCs w:val="32"/>
          <w:lang w:val="en-US" w:eastAsia="zh-CN"/>
        </w:rPr>
        <w:t xml:space="preserve">  方雯婷</w:t>
      </w:r>
    </w:p>
    <w:p>
      <w:pPr>
        <w:keepNext w:val="0"/>
        <w:keepLines w:val="0"/>
        <w:pageBreakBefore w:val="0"/>
        <w:widowControl w:val="0"/>
        <w:kinsoku/>
        <w:wordWrap/>
        <w:overflowPunct/>
        <w:topLinePunct w:val="0"/>
        <w:autoSpaceDE/>
        <w:autoSpaceDN/>
        <w:bidi w:val="0"/>
        <w:adjustRightInd/>
        <w:snapToGrid/>
        <w:spacing w:line="590" w:lineRule="exact"/>
        <w:ind w:right="1280"/>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kern w:val="0"/>
          <w:sz w:val="32"/>
          <w:szCs w:val="32"/>
          <w:shd w:val="clear"/>
        </w:rPr>
      </w:pPr>
      <w:r>
        <w:rPr>
          <w:rFonts w:hint="eastAsia" w:ascii="仿宋_GB2312" w:hAnsi="仿宋_GB2312" w:eastAsia="仿宋_GB2312" w:cs="仿宋_GB2312"/>
          <w:kern w:val="0"/>
          <w:sz w:val="32"/>
          <w:szCs w:val="32"/>
          <w:shd w:val="clear"/>
        </w:rPr>
        <w:t>阿尔茨海默病（Alzheimer's disease, AD）是最常见的痴呆类型，</w:t>
      </w:r>
      <w:r>
        <w:rPr>
          <w:rFonts w:hint="eastAsia" w:ascii="仿宋_GB2312" w:hAnsi="仿宋_GB2312" w:eastAsia="仿宋_GB2312" w:cs="仿宋_GB2312"/>
          <w:kern w:val="0"/>
          <w:sz w:val="32"/>
          <w:szCs w:val="32"/>
          <w:shd w:val="clear"/>
          <w:lang w:val="en-US" w:eastAsia="zh-CN"/>
        </w:rPr>
        <w:t>临床表现为</w:t>
      </w:r>
      <w:r>
        <w:rPr>
          <w:rFonts w:hint="eastAsia" w:ascii="仿宋_GB2312" w:hAnsi="仿宋_GB2312" w:eastAsia="仿宋_GB2312" w:cs="仿宋_GB2312"/>
          <w:kern w:val="0"/>
          <w:sz w:val="32"/>
          <w:szCs w:val="32"/>
          <w:shd w:val="clear"/>
        </w:rPr>
        <w:t>认知障碍、精神行为问题和社会及生活功能丧失。</w:t>
      </w:r>
      <w:r>
        <w:rPr>
          <w:rFonts w:hint="eastAsia" w:ascii="仿宋_GB2312" w:hAnsi="仿宋_GB2312" w:eastAsia="仿宋_GB2312" w:cs="仿宋_GB2312"/>
          <w:kern w:val="0"/>
          <w:sz w:val="32"/>
          <w:szCs w:val="32"/>
          <w:shd w:val="clear"/>
          <w:lang w:val="en-US" w:eastAsia="zh-CN"/>
        </w:rPr>
        <w:t>且</w:t>
      </w:r>
      <w:r>
        <w:rPr>
          <w:rFonts w:hint="eastAsia" w:ascii="仿宋_GB2312" w:hAnsi="仿宋_GB2312" w:eastAsia="仿宋_GB2312" w:cs="仿宋_GB2312"/>
          <w:kern w:val="0"/>
          <w:sz w:val="32"/>
          <w:szCs w:val="32"/>
          <w:shd w:val="clear"/>
        </w:rPr>
        <w:t>起病隐匿、早期诊断困难</w:t>
      </w:r>
      <w:r>
        <w:rPr>
          <w:rFonts w:hint="eastAsia" w:ascii="仿宋_GB2312" w:hAnsi="仿宋_GB2312" w:eastAsia="仿宋_GB2312" w:cs="仿宋_GB2312"/>
          <w:kern w:val="0"/>
          <w:sz w:val="32"/>
          <w:szCs w:val="32"/>
          <w:shd w:val="clear"/>
          <w:lang w:eastAsia="zh-CN"/>
        </w:rPr>
        <w:t>。</w:t>
      </w:r>
      <w:r>
        <w:rPr>
          <w:rFonts w:hint="eastAsia" w:ascii="仿宋_GB2312" w:hAnsi="仿宋_GB2312" w:eastAsia="仿宋_GB2312" w:cs="仿宋_GB2312"/>
          <w:kern w:val="0"/>
          <w:sz w:val="32"/>
          <w:szCs w:val="32"/>
          <w:shd w:val="clear"/>
        </w:rPr>
        <w:t>流行病学</w:t>
      </w:r>
      <w:r>
        <w:rPr>
          <w:rFonts w:hint="eastAsia" w:ascii="仿宋_GB2312" w:hAnsi="仿宋_GB2312" w:eastAsia="仿宋_GB2312" w:cs="仿宋_GB2312"/>
          <w:kern w:val="0"/>
          <w:sz w:val="32"/>
          <w:szCs w:val="32"/>
          <w:shd w:val="clear"/>
          <w:lang w:val="en-US" w:eastAsia="zh-CN"/>
        </w:rPr>
        <w:t>研究提示</w:t>
      </w:r>
      <w:r>
        <w:rPr>
          <w:rFonts w:hint="eastAsia" w:ascii="仿宋_GB2312" w:hAnsi="仿宋_GB2312" w:eastAsia="仿宋_GB2312" w:cs="仿宋_GB2312"/>
          <w:kern w:val="0"/>
          <w:sz w:val="32"/>
          <w:szCs w:val="32"/>
          <w:shd w:val="clear"/>
        </w:rPr>
        <w:t>中国60岁以上人口中痴呆患者约1507万，其中AD约983万人。</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kern w:val="0"/>
          <w:sz w:val="32"/>
          <w:szCs w:val="32"/>
        </w:rPr>
      </w:pPr>
      <w:r>
        <w:rPr>
          <w:rFonts w:hint="eastAsia" w:ascii="仿宋_GB2312" w:hAnsi="仿宋_GB2312" w:eastAsia="仿宋_GB2312" w:cs="仿宋_GB2312"/>
          <w:kern w:val="2"/>
          <w:sz w:val="32"/>
          <w:szCs w:val="32"/>
          <w:lang w:val="en-US"/>
        </w:rPr>
        <w:t>AD是一个连续疾病谱，包括临床前AD、AD源性</w:t>
      </w:r>
      <w:r>
        <w:rPr>
          <w:rFonts w:hint="eastAsia" w:ascii="仿宋_GB2312" w:hAnsi="仿宋_GB2312" w:eastAsia="仿宋_GB2312" w:cs="仿宋_GB2312"/>
          <w:kern w:val="2"/>
          <w:sz w:val="32"/>
          <w:szCs w:val="32"/>
          <w:lang w:val="en-US" w:eastAsia="zh-CN"/>
        </w:rPr>
        <w:t>MCI</w:t>
      </w:r>
      <w:r>
        <w:rPr>
          <w:rFonts w:hint="eastAsia" w:ascii="仿宋_GB2312" w:hAnsi="仿宋_GB2312" w:eastAsia="仿宋_GB2312" w:cs="仿宋_GB2312"/>
          <w:sz w:val="32"/>
          <w:szCs w:val="32"/>
        </w:rPr>
        <w:t>（mild cognitive impairment，MCI）</w:t>
      </w:r>
      <w:r>
        <w:rPr>
          <w:rFonts w:hint="eastAsia" w:ascii="仿宋_GB2312" w:hAnsi="仿宋_GB2312" w:eastAsia="仿宋_GB2312" w:cs="仿宋_GB2312"/>
          <w:kern w:val="2"/>
          <w:sz w:val="32"/>
          <w:szCs w:val="32"/>
          <w:lang w:val="en-US"/>
        </w:rPr>
        <w:t>、轻度AD、中度AD和重度AD多个阶段</w:t>
      </w:r>
      <w:r>
        <w:rPr>
          <w:rFonts w:hint="eastAsia" w:ascii="仿宋_GB2312" w:hAnsi="仿宋_GB2312" w:eastAsia="仿宋_GB2312" w:cs="仿宋_GB2312"/>
          <w:kern w:val="0"/>
          <w:sz w:val="32"/>
          <w:szCs w:val="32"/>
          <w:shd w:val="clear"/>
        </w:rPr>
        <w:t>。</w:t>
      </w:r>
      <w:r>
        <w:rPr>
          <w:rFonts w:hint="eastAsia" w:ascii="仿宋_GB2312" w:hAnsi="仿宋_GB2312" w:eastAsia="仿宋_GB2312" w:cs="仿宋_GB2312"/>
          <w:sz w:val="32"/>
          <w:szCs w:val="32"/>
          <w:lang w:val="da-DK"/>
        </w:rPr>
        <w:t>AD</w:t>
      </w:r>
      <w:r>
        <w:rPr>
          <w:rFonts w:hint="eastAsia" w:ascii="仿宋_GB2312" w:hAnsi="仿宋_GB2312" w:eastAsia="仿宋_GB2312" w:cs="仿宋_GB2312"/>
          <w:sz w:val="32"/>
          <w:szCs w:val="32"/>
        </w:rPr>
        <w:t>漫长的临床前阶段出现于临床症状前</w:t>
      </w:r>
      <w:r>
        <w:rPr>
          <w:rFonts w:hint="eastAsia" w:ascii="仿宋_GB2312" w:hAnsi="仿宋_GB2312" w:eastAsia="仿宋_GB2312" w:cs="仿宋_GB2312"/>
          <w:sz w:val="32"/>
          <w:szCs w:val="32"/>
          <w:lang w:val="en-US"/>
        </w:rPr>
        <w:t>10-20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lang w:eastAsia="zh-CN"/>
        </w:rPr>
        <w:instrText xml:space="preserve"> ADDIN NE.Ref.{83E2E907-D100-46AB-8709-E599E50D5585}</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080000"/>
          <w:sz w:val="32"/>
          <w:szCs w:val="32"/>
          <w:vertAlign w:val="superscript"/>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，此时Aβ已开始在楔前叶和大脑皮质区域逐渐沉积，随后出现这些区域的低代谢、tau病理和海马体积缩小等，最终表现为认知</w:t>
      </w:r>
      <w:r>
        <w:rPr>
          <w:rFonts w:hint="eastAsia" w:ascii="仿宋_GB2312" w:hAnsi="仿宋_GB2312" w:eastAsia="仿宋_GB2312" w:cs="仿宋_GB2312"/>
          <w:sz w:val="32"/>
          <w:szCs w:val="32"/>
          <w:lang w:val="en-US"/>
        </w:rPr>
        <w:t>功能</w:t>
      </w:r>
      <w:r>
        <w:rPr>
          <w:rFonts w:hint="eastAsia" w:ascii="仿宋_GB2312" w:hAnsi="仿宋_GB2312" w:eastAsia="仿宋_GB2312" w:cs="仿宋_GB2312"/>
          <w:sz w:val="32"/>
          <w:szCs w:val="32"/>
        </w:rPr>
        <w:t>障碍。</w:t>
      </w:r>
      <w:r>
        <w:rPr>
          <w:rFonts w:hint="eastAsia" w:ascii="仿宋_GB2312" w:hAnsi="仿宋_GB2312" w:eastAsia="仿宋_GB2312" w:cs="仿宋_GB2312"/>
          <w:kern w:val="0"/>
          <w:sz w:val="32"/>
          <w:szCs w:val="32"/>
          <w:shd w:val="clear"/>
        </w:rPr>
        <w:t>由此可知</w:t>
      </w:r>
      <w:r>
        <w:rPr>
          <w:rFonts w:hint="eastAsia" w:ascii="仿宋_GB2312" w:hAnsi="仿宋_GB2312" w:eastAsia="仿宋_GB2312" w:cs="仿宋_GB2312"/>
          <w:kern w:val="0"/>
          <w:sz w:val="32"/>
          <w:szCs w:val="32"/>
          <w:shd w:val="clear"/>
          <w:lang w:val="en-US" w:eastAsia="zh-CN"/>
        </w:rPr>
        <w:t>早期诊断的重要性</w:t>
      </w:r>
      <w:r>
        <w:rPr>
          <w:rFonts w:hint="eastAsia" w:ascii="仿宋_GB2312" w:hAnsi="仿宋_GB2312" w:eastAsia="仿宋_GB2312" w:cs="仿宋_GB2312"/>
          <w:kern w:val="0"/>
          <w:sz w:val="32"/>
          <w:szCs w:val="32"/>
          <w:shd w:val="clear"/>
        </w:rPr>
        <w:t>，</w:t>
      </w:r>
      <w:r>
        <w:rPr>
          <w:rFonts w:hint="eastAsia" w:ascii="仿宋_GB2312" w:hAnsi="仿宋_GB2312" w:eastAsia="仿宋_GB2312" w:cs="仿宋_GB2312"/>
          <w:kern w:val="0"/>
          <w:sz w:val="32"/>
          <w:szCs w:val="32"/>
          <w:shd w:val="clear"/>
          <w:lang w:val="en-US" w:eastAsia="zh-CN"/>
        </w:rPr>
        <w:t>尤其是</w:t>
      </w:r>
      <w:r>
        <w:rPr>
          <w:rFonts w:hint="eastAsia" w:ascii="仿宋_GB2312" w:hAnsi="仿宋_GB2312" w:eastAsia="仿宋_GB2312" w:cs="仿宋_GB2312"/>
          <w:kern w:val="2"/>
          <w:sz w:val="32"/>
          <w:szCs w:val="32"/>
          <w:lang w:val="en-US"/>
        </w:rPr>
        <w:t>及早发现并管理AD源性MCI，将有助于更长时间地维持患者现有认知功能，延缓疾病进展。</w:t>
      </w:r>
    </w:p>
    <w:p>
      <w:pPr>
        <w:keepNext w:val="0"/>
        <w:keepLines w:val="0"/>
        <w:pageBreakBefore w:val="0"/>
        <w:widowControl w:val="0"/>
        <w:kinsoku/>
        <w:wordWrap/>
        <w:overflowPunct/>
        <w:topLinePunct w:val="0"/>
        <w:autoSpaceDE/>
        <w:autoSpaceDN/>
        <w:bidi w:val="0"/>
        <w:adjustRightInd/>
        <w:snapToGrid/>
        <w:spacing w:after="156" w:line="590" w:lineRule="exact"/>
        <w:ind w:firstLine="643" w:firstLineChars="200"/>
        <w:textAlignment w:val="baseline"/>
        <w:rPr>
          <w:rFonts w:hint="eastAsia" w:ascii="仿宋_GB2312" w:hAnsi="仿宋_GB2312" w:eastAsia="仿宋_GB2312" w:cs="仿宋_GB2312"/>
          <w:b/>
          <w:bCs/>
          <w:color w:val="000000"/>
          <w:kern w:val="0"/>
          <w:sz w:val="32"/>
          <w:szCs w:val="32"/>
          <w:lang w:val="zh-CN"/>
        </w:rPr>
      </w:pPr>
      <w:r>
        <w:rPr>
          <w:rFonts w:hint="eastAsia" w:ascii="仿宋_GB2312" w:hAnsi="仿宋_GB2312" w:eastAsia="仿宋_GB2312" w:cs="仿宋_GB2312"/>
          <w:b/>
          <w:bCs/>
          <w:color w:val="000000"/>
          <w:kern w:val="0"/>
          <w:sz w:val="32"/>
          <w:szCs w:val="32"/>
          <w:lang w:val="zh-CN"/>
        </w:rPr>
        <w:t>AD病因假说</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D可分为家族性AD（早发型AD）和散发性AD（晚发型AD）。研究表明，约有不到5%的AD人群有阳性家族史，APP、PS1和PS2基因突变是导致早发型家族性AD的主要致病基因，这些基因突变能增加Aβ的生成。对于90%以上绝大多数的散发性AD患者，越来越多证据表明其也存在遗传易感因素参与。全基因组关联研究和全外显子测序研究发现了40多个风险位点，其中APOE ε4等位基因携带者是最为公认的散发性AD的高危人群。</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AD的发病机制有多种假说，其中β-淀粉样蛋白（β-amyloid，Aβ）假说影响最为广泛和深远。</w:t>
      </w:r>
      <w:r>
        <w:rPr>
          <w:rFonts w:hint="eastAsia" w:ascii="仿宋_GB2312" w:hAnsi="仿宋_GB2312" w:eastAsia="仿宋_GB2312" w:cs="仿宋_GB2312"/>
          <w:sz w:val="32"/>
          <w:szCs w:val="32"/>
          <w:lang w:val="zh-CN"/>
        </w:rPr>
        <w:t>淀粉样蛋白</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海马</w:t>
      </w:r>
      <w:r>
        <w:rPr>
          <w:rFonts w:hint="eastAsia" w:ascii="仿宋_GB2312" w:hAnsi="仿宋_GB2312" w:eastAsia="仿宋_GB2312" w:cs="仿宋_GB2312"/>
          <w:sz w:val="32"/>
          <w:szCs w:val="32"/>
          <w:lang w:val="en-US" w:eastAsia="zh-CN"/>
        </w:rPr>
        <w:t>等脑区聚集</w:t>
      </w:r>
      <w:r>
        <w:rPr>
          <w:rFonts w:hint="eastAsia" w:ascii="仿宋_GB2312" w:hAnsi="仿宋_GB2312" w:eastAsia="仿宋_GB2312" w:cs="仿宋_GB2312"/>
          <w:sz w:val="32"/>
          <w:szCs w:val="32"/>
        </w:rPr>
        <w:t>形成不溶性聚集物形成神经炎性斑块（neuritic plaques，NPs）</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破坏</w:t>
      </w:r>
      <w:r>
        <w:rPr>
          <w:rFonts w:hint="eastAsia" w:ascii="仿宋_GB2312" w:hAnsi="仿宋_GB2312" w:eastAsia="仿宋_GB2312" w:cs="仿宋_GB2312"/>
          <w:sz w:val="32"/>
          <w:szCs w:val="32"/>
          <w:lang w:val="en-US" w:eastAsia="zh-CN"/>
        </w:rPr>
        <w:t>神经</w:t>
      </w:r>
      <w:r>
        <w:rPr>
          <w:rFonts w:hint="eastAsia" w:ascii="仿宋_GB2312" w:hAnsi="仿宋_GB2312" w:eastAsia="仿宋_GB2312" w:cs="仿宋_GB2312"/>
          <w:sz w:val="32"/>
          <w:szCs w:val="32"/>
        </w:rPr>
        <w:t>系统稳态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激活胶质细胞，</w:t>
      </w:r>
      <w:r>
        <w:rPr>
          <w:rFonts w:hint="eastAsia" w:ascii="仿宋_GB2312" w:hAnsi="仿宋_GB2312" w:eastAsia="仿宋_GB2312" w:cs="仿宋_GB2312"/>
          <w:sz w:val="32"/>
          <w:szCs w:val="32"/>
        </w:rPr>
        <w:t>并导致</w:t>
      </w:r>
      <w:r>
        <w:rPr>
          <w:rFonts w:hint="eastAsia" w:ascii="仿宋_GB2312" w:hAnsi="仿宋_GB2312" w:eastAsia="仿宋_GB2312" w:cs="仿宋_GB2312"/>
          <w:sz w:val="32"/>
          <w:szCs w:val="32"/>
          <w:lang w:val="en-US" w:eastAsia="zh-CN"/>
        </w:rPr>
        <w:t>神经元</w:t>
      </w:r>
      <w:r>
        <w:rPr>
          <w:rFonts w:hint="eastAsia" w:ascii="仿宋_GB2312" w:hAnsi="仿宋_GB2312" w:eastAsia="仿宋_GB2312" w:cs="仿宋_GB2312"/>
          <w:sz w:val="32"/>
          <w:szCs w:val="32"/>
        </w:rPr>
        <w:t>突触功能障碍</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lang w:eastAsia="zh-CN"/>
        </w:rPr>
        <w:instrText xml:space="preserve"> ADDIN NE.Ref.{68C9FBA9-9E84-4394-ADD7-C9AD896E1754}</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。AD的另一重要学说为tau蛋白学说，认为过度磷酸化的tau蛋白影响了神经元骨架微管蛋白的稳定性，导致神经原纤维缠结（neurofibrillary tangle，NFT）形成，进而破坏了神经元及突触的正常功能。</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AD最突出的神经生化改变是大脑皮质和海马区乙酰胆碱水平的降低，这是由于胆碱能神经元及胆碱能投射通路的选择性缺失造成的。</w:t>
      </w:r>
      <w:r>
        <w:rPr>
          <w:rFonts w:hint="eastAsia" w:ascii="仿宋_GB2312" w:hAnsi="仿宋_GB2312" w:eastAsia="仿宋_GB2312" w:cs="仿宋_GB2312"/>
          <w:sz w:val="32"/>
          <w:szCs w:val="32"/>
          <w:lang w:val="zh-CN"/>
        </w:rPr>
        <w:t>越来越多的研究显示</w:t>
      </w:r>
      <w:r>
        <w:rPr>
          <w:rFonts w:hint="eastAsia" w:ascii="仿宋_GB2312" w:hAnsi="仿宋_GB2312" w:eastAsia="仿宋_GB2312" w:cs="仿宋_GB2312"/>
          <w:sz w:val="32"/>
          <w:szCs w:val="32"/>
          <w:lang w:val="en-US" w:eastAsia="zh-CN"/>
        </w:rPr>
        <w:t>外周及中枢的</w:t>
      </w:r>
      <w:r>
        <w:rPr>
          <w:rFonts w:hint="eastAsia" w:ascii="仿宋_GB2312" w:hAnsi="仿宋_GB2312" w:eastAsia="仿宋_GB2312" w:cs="仿宋_GB2312"/>
          <w:sz w:val="32"/>
          <w:szCs w:val="32"/>
          <w:lang w:val="zh-CN"/>
        </w:rPr>
        <w:t>神经炎症参与了AD的发病</w:t>
      </w:r>
      <w:r>
        <w:rPr>
          <w:rFonts w:hint="eastAsia" w:ascii="仿宋_GB2312" w:hAnsi="仿宋_GB2312" w:eastAsia="仿宋_GB2312" w:cs="仿宋_GB2312"/>
          <w:sz w:val="32"/>
          <w:szCs w:val="32"/>
        </w:rPr>
        <w:t>，在NPs周围存在大量斑块相关的</w:t>
      </w:r>
      <w:r>
        <w:rPr>
          <w:rFonts w:hint="eastAsia" w:ascii="仿宋_GB2312" w:hAnsi="仿宋_GB2312" w:eastAsia="仿宋_GB2312" w:cs="仿宋_GB2312"/>
          <w:sz w:val="32"/>
          <w:szCs w:val="32"/>
          <w:lang w:val="en-US" w:eastAsia="zh-CN"/>
        </w:rPr>
        <w:t>异常活化的</w:t>
      </w:r>
      <w:r>
        <w:rPr>
          <w:rFonts w:hint="eastAsia" w:ascii="仿宋_GB2312" w:hAnsi="仿宋_GB2312" w:eastAsia="仿宋_GB2312" w:cs="仿宋_GB2312"/>
          <w:sz w:val="32"/>
          <w:szCs w:val="32"/>
        </w:rPr>
        <w:t>小胶质细胞。除此之外，尚有蛋白折叠异常、线粒体功能障碍和肠道菌群假说等多种假说。</w:t>
      </w:r>
    </w:p>
    <w:p>
      <w:pPr>
        <w:keepNext w:val="0"/>
        <w:keepLines w:val="0"/>
        <w:pageBreakBefore w:val="0"/>
        <w:widowControl w:val="0"/>
        <w:kinsoku/>
        <w:wordWrap/>
        <w:overflowPunct/>
        <w:topLinePunct w:val="0"/>
        <w:autoSpaceDE/>
        <w:autoSpaceDN/>
        <w:bidi w:val="0"/>
        <w:adjustRightInd/>
        <w:snapToGrid/>
        <w:spacing w:after="156" w:line="590" w:lineRule="exact"/>
        <w:ind w:firstLine="643" w:firstLineChars="200"/>
        <w:textAlignment w:val="baseline"/>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AD</w:t>
      </w:r>
      <w:r>
        <w:rPr>
          <w:rFonts w:hint="eastAsia" w:ascii="仿宋_GB2312" w:hAnsi="仿宋_GB2312" w:eastAsia="仿宋_GB2312" w:cs="仿宋_GB2312"/>
          <w:b/>
          <w:bCs/>
          <w:sz w:val="32"/>
          <w:szCs w:val="32"/>
          <w:lang w:val="en-US"/>
        </w:rPr>
        <w:t>主要临床表现</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AD通常隐匿起病，持续进行性发展，主要表现为认知功能减退和非认知性神经精神症状。按照最新临床分期，AD包括两个阶段：痴呆前阶段和痴呆阶段。</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1．痴呆前阶段</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分为轻度认知功能障碍发生前期（pre-mild cognitive impairment，pre-MCI）和轻度认知功能障碍期（mild cognitive impairment，MCI）。AD的pre-MCI期没有任何认知障碍的临床表现或者仅有极轻微的记忆力减退主诉，客观的神经心理学检查正常。AD的MCI期，主要表现为记忆力轻度受损，学习和保存新知识的能力下降，其他认知域，如注意力、执行能力、语言能力和视空间能力也可轻度受损，客观的神经心理学检查有减退，但未达到痴呆的程度，不影响日常生活能力。</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2．痴呆阶段</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此阶段患者认知功能损害已影响其日常生活能力，该阶段主要临床表现包括认知下降（Cognitive decline）、精神行为症状（Behavioral and psychological symptoms）、</w:t>
      </w:r>
      <w:r>
        <w:rPr>
          <w:rFonts w:hint="eastAsia" w:ascii="仿宋_GB2312" w:hAnsi="仿宋_GB2312" w:eastAsia="仿宋_GB2312" w:cs="仿宋_GB2312"/>
          <w:sz w:val="32"/>
          <w:szCs w:val="32"/>
          <w:lang w:val="en-US" w:eastAsia="zh-CN"/>
        </w:rPr>
        <w:t>日常生活</w:t>
      </w:r>
      <w:r>
        <w:rPr>
          <w:rFonts w:hint="eastAsia" w:ascii="仿宋_GB2312" w:hAnsi="仿宋_GB2312" w:eastAsia="仿宋_GB2312" w:cs="仿宋_GB2312"/>
          <w:sz w:val="32"/>
          <w:szCs w:val="32"/>
        </w:rPr>
        <w:t>自理能力下降（decline in Activity of daily living），简单归纳为CBA</w:t>
      </w:r>
      <w:r>
        <w:rPr>
          <w:rFonts w:hint="eastAsia" w:ascii="仿宋_GB2312" w:hAnsi="仿宋_GB2312" w:eastAsia="仿宋_GB2312" w:cs="仿宋_GB2312"/>
          <w:sz w:val="32"/>
          <w:szCs w:val="32"/>
          <w:lang w:val="en-US" w:eastAsia="zh-CN"/>
        </w:rPr>
        <w:t>三大主要</w:t>
      </w:r>
      <w:r>
        <w:rPr>
          <w:rFonts w:hint="eastAsia" w:ascii="仿宋_GB2312" w:hAnsi="仿宋_GB2312" w:eastAsia="仿宋_GB2312" w:cs="仿宋_GB2312"/>
          <w:sz w:val="32"/>
          <w:szCs w:val="32"/>
        </w:rPr>
        <w:t>症状，CBA症状随AD病情的严重程度不同有所变化。</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轻度：主要表现是情景记忆障碍。首先出现近事记忆减退，常遗忘日常所做的事和常用的一些物品。随着病情发展，出现远期记忆减退，即对发生已久的事情和人物的遗忘。部分患者出现视空间障碍，外出后找不到回家的路，不能精确地临摹立体图。面对生疏和复杂的事物容易出现焦虑和消极情绪，还会表现出人格障碍。</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度：除记忆障碍继续加重外，工作、学习新知识和社会接触能力减退，特别是原已掌握的知识和技巧出现明显的衰退。出现逻辑思维、综合分析能力减退，言语重复、计算力下降，明显的视空间障碍，如在家中找不到自己的房间，出现失语、失用、失认等，有些患者还出现癫痫、强直-少动综合征。患者常有较明显的行为和精神异常，性格内向的患者变得易激惹、兴奋欣快、言语增多，而原来性格外向的患者则变得沉默寡言，对任何事情提不起兴趣，出现人格改变，甚至做出一些丧失羞耻感的行为。</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重度：此期患者除上述各项症状逐渐加重外，还有情感淡漠、哭笑无常、言语能力丧失、以致不能完成日常简单的生活事项如穿衣、进食。终日无语而卧床，与外界（包括亲友）逐渐丧失接触能力。四肢出现强直或屈曲瘫痪，括约肌功能障碍。此期患者常可并发全身系统疾病的症状，如肺部及尿路感染、压疮，以及全身性衰竭症状等，最终因并发症而死亡。</w:t>
      </w:r>
    </w:p>
    <w:p>
      <w:pPr>
        <w:keepNext w:val="0"/>
        <w:keepLines w:val="0"/>
        <w:pageBreakBefore w:val="0"/>
        <w:widowControl w:val="0"/>
        <w:kinsoku/>
        <w:wordWrap/>
        <w:overflowPunct/>
        <w:topLinePunct w:val="0"/>
        <w:autoSpaceDE/>
        <w:autoSpaceDN/>
        <w:bidi w:val="0"/>
        <w:adjustRightInd/>
        <w:snapToGrid/>
        <w:spacing w:after="156" w:line="590" w:lineRule="exact"/>
        <w:ind w:firstLine="643" w:firstLineChars="200"/>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辅助检查</w:t>
      </w:r>
    </w:p>
    <w:p>
      <w:pPr>
        <w:keepNext w:val="0"/>
        <w:keepLines w:val="0"/>
        <w:pageBreakBefore w:val="0"/>
        <w:widowControl w:val="0"/>
        <w:numPr>
          <w:ilvl w:val="0"/>
          <w:numId w:val="1"/>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一般检查</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1"/>
          <w:numId w:val="2"/>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血液检查 </w:t>
      </w:r>
      <w:r>
        <w:rPr>
          <w:rFonts w:hint="eastAsia" w:ascii="仿宋_GB2312" w:hAnsi="仿宋_GB2312" w:eastAsia="仿宋_GB2312" w:cs="仿宋_GB2312"/>
          <w:sz w:val="32"/>
          <w:szCs w:val="32"/>
        </w:rPr>
        <w:t>AD患者血常规、</w:t>
      </w:r>
      <w:r>
        <w:rPr>
          <w:rFonts w:hint="eastAsia" w:ascii="仿宋_GB2312" w:hAnsi="仿宋_GB2312" w:eastAsia="仿宋_GB2312" w:cs="仿宋_GB2312"/>
          <w:sz w:val="32"/>
          <w:szCs w:val="32"/>
          <w:lang w:val="en-US" w:eastAsia="zh-CN"/>
        </w:rPr>
        <w:t>生化</w:t>
      </w:r>
      <w:r>
        <w:rPr>
          <w:rFonts w:hint="eastAsia" w:ascii="仿宋_GB2312" w:hAnsi="仿宋_GB2312" w:eastAsia="仿宋_GB2312" w:cs="仿宋_GB2312"/>
          <w:sz w:val="32"/>
          <w:szCs w:val="32"/>
        </w:rPr>
        <w:t>、甲状腺功能、维生素B12、叶酸、梅毒抗体、艾滋病抗体等一般检查均大致正常。</w:t>
      </w:r>
    </w:p>
    <w:p>
      <w:pPr>
        <w:keepNext w:val="0"/>
        <w:keepLines w:val="0"/>
        <w:pageBreakBefore w:val="0"/>
        <w:widowControl w:val="0"/>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1.2 脑脊液检查 </w:t>
      </w:r>
      <w:r>
        <w:rPr>
          <w:rFonts w:hint="eastAsia" w:ascii="仿宋_GB2312" w:hAnsi="仿宋_GB2312" w:eastAsia="仿宋_GB2312" w:cs="仿宋_GB2312"/>
          <w:sz w:val="32"/>
          <w:szCs w:val="32"/>
        </w:rPr>
        <w:t>AD患者脑脊液中Aβ1-42及Aβ42/Aβ40比值降低，总Tau、p-Tau181、p-Tau217、p-Tau231及神经丝轻链蛋白（neurofilament light chain，NfL）显著升高。</w:t>
      </w:r>
    </w:p>
    <w:p>
      <w:pPr>
        <w:keepNext w:val="0"/>
        <w:keepLines w:val="0"/>
        <w:pageBreakBefore w:val="0"/>
        <w:widowControl w:val="0"/>
        <w:numPr>
          <w:ilvl w:val="0"/>
          <w:numId w:val="3"/>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影像学</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2.1. </w:t>
      </w:r>
      <w:r>
        <w:rPr>
          <w:rFonts w:hint="eastAsia" w:ascii="仿宋_GB2312" w:hAnsi="仿宋_GB2312" w:eastAsia="仿宋_GB2312" w:cs="仿宋_GB2312"/>
          <w:sz w:val="32"/>
          <w:szCs w:val="32"/>
        </w:rPr>
        <w:t>CT检查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见脑萎缩、脑室扩大；</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2.2. </w:t>
      </w:r>
      <w:r>
        <w:rPr>
          <w:rFonts w:hint="eastAsia" w:ascii="仿宋_GB2312" w:hAnsi="仿宋_GB2312" w:eastAsia="仿宋_GB2312" w:cs="仿宋_GB2312"/>
          <w:sz w:val="32"/>
          <w:szCs w:val="32"/>
        </w:rPr>
        <w:t>头颅MRI检查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显示双侧颞叶、海马萎缩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目前多采用内侧颞叶萎缩评定量表（MTA-scale），基于观察脉络膜裂的增宽、颞角扩大以及海马结构高度的变化对海马萎缩情况进行分级</w:t>
      </w:r>
      <w:r>
        <w:rPr>
          <w:rFonts w:hint="eastAsia" w:ascii="仿宋_GB2312" w:hAnsi="仿宋_GB2312" w:eastAsia="仿宋_GB2312" w:cs="仿宋_GB2312"/>
          <w:sz w:val="32"/>
          <w:szCs w:val="32"/>
        </w:rPr>
        <w:t>。</w:t>
      </w:r>
    </w:p>
    <w:p>
      <w:pPr>
        <w:numPr>
          <w:ilvl w:val="0"/>
          <w:numId w:val="0"/>
        </w:numPr>
        <w:spacing w:after="156" w:line="360" w:lineRule="auto"/>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drawing>
          <wp:inline distT="0" distB="0" distL="114300" distR="114300">
            <wp:extent cx="5102225" cy="3011170"/>
            <wp:effectExtent l="0" t="0" r="3175" b="0"/>
            <wp:docPr id="3" name="图片 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
                    <pic:cNvPicPr>
                      <a:picLocks noChangeAspect="1"/>
                    </pic:cNvPicPr>
                  </pic:nvPicPr>
                  <pic:blipFill>
                    <a:blip r:embed="rId4"/>
                    <a:stretch>
                      <a:fillRect/>
                    </a:stretch>
                  </pic:blipFill>
                  <pic:spPr>
                    <a:xfrm>
                      <a:off x="0" y="0"/>
                      <a:ext cx="5102225" cy="301117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注：</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年龄小于等于75岁:MTA评分为2级或更高为异常(即1级可以是正常)；</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年龄大于75岁:MTA评分为3级或更高为异常(即</w:t>
      </w:r>
      <w:r>
        <w:rPr>
          <w:rFonts w:hint="eastAsia" w:ascii="仿宋_GB2312" w:hAnsi="仿宋_GB2312" w:eastAsia="仿宋_GB2312" w:cs="仿宋_GB2312"/>
          <w:sz w:val="32"/>
          <w:szCs w:val="32"/>
          <w:lang w:val="en-US" w:eastAsia="zh-CN"/>
        </w:rPr>
        <w:t>在这个年龄2级还是正常的)</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2.3. </w:t>
      </w:r>
      <w:r>
        <w:rPr>
          <w:rFonts w:hint="eastAsia" w:ascii="仿宋_GB2312" w:hAnsi="仿宋_GB2312" w:eastAsia="仿宋_GB2312" w:cs="仿宋_GB2312"/>
          <w:sz w:val="32"/>
          <w:szCs w:val="32"/>
        </w:rPr>
        <w:t>SPECT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灌注成像和氟脱氧葡萄糖PET成像可见顶叶、颞叶和额叶，尤其是双侧颞叶的海马区血流和代谢降低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Aβ标记配体示踪剂（如PiB、AV-45等）的PET成像技术可见脑内的Aβ沉积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tau-蛋白示踪剂的PET成像技术可以显示tau蛋白沉积。</w:t>
      </w:r>
    </w:p>
    <w:p>
      <w:pPr>
        <w:keepNext w:val="0"/>
        <w:keepLines w:val="0"/>
        <w:pageBreakBefore w:val="0"/>
        <w:widowControl w:val="0"/>
        <w:numPr>
          <w:ilvl w:val="0"/>
          <w:numId w:val="3"/>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神经心理学检查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对AD的认知评估领域应包括记忆功能、语言功能、定向力、运用能力、注意力、知觉（视、听、感知）和执行功能七个领域。临床上常用的分为：总体评定量表，如简易精神状况量表（Mini-Mental State Examination，MMSE）、蒙特利尔认知测验（Montreal Cognitive Assessment，MoCA）、阿尔茨海默病认知功能评价量表（Alzheimer’s disease assessment scale-cognitive score，ADAS-cog）等；分级量表，如临床痴呆评定量表（Clinical Dementia Rating，CDR）和总体衰退量表（Global Deterioration Scale，GDS）；单项测验，如评估注意力的数字广度测验、评估语言能力的波士顿命名测验等；日常生活能力评估，如日常生活能力量表(Activity of Daily Living Scale, ADL)等；精神行为评定量表，如神经精神问卷（Neuropsychiatric inventory，NPI）等；用于鉴别的量表，如Hachinski缺血量表。</w:t>
      </w:r>
    </w:p>
    <w:p>
      <w:pPr>
        <w:keepNext w:val="0"/>
        <w:keepLines w:val="0"/>
        <w:pageBreakBefore w:val="0"/>
        <w:widowControl w:val="0"/>
        <w:numPr>
          <w:ilvl w:val="0"/>
          <w:numId w:val="3"/>
        </w:numPr>
        <w:kinsoku/>
        <w:wordWrap/>
        <w:overflowPunct/>
        <w:topLinePunct w:val="0"/>
        <w:autoSpaceDE/>
        <w:autoSpaceDN/>
        <w:bidi w:val="0"/>
        <w:adjustRightInd/>
        <w:snapToGrid/>
        <w:spacing w:after="156" w:line="590" w:lineRule="exact"/>
        <w:ind w:left="0" w:leftChars="0"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基因检查</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对于早发型AD有明确家族史的患者可进行APP、PSEN1、PSEN2致病基因检测，致病突变的发现有助于确诊。散发型AD可进行APOE风险基因检测。</w:t>
      </w:r>
    </w:p>
    <w:p>
      <w:pPr>
        <w:keepNext w:val="0"/>
        <w:keepLines w:val="0"/>
        <w:pageBreakBefore w:val="0"/>
        <w:widowControl w:val="0"/>
        <w:kinsoku/>
        <w:wordWrap/>
        <w:overflowPunct/>
        <w:topLinePunct w:val="0"/>
        <w:autoSpaceDE/>
        <w:autoSpaceDN/>
        <w:bidi w:val="0"/>
        <w:adjustRightInd/>
        <w:snapToGrid/>
        <w:spacing w:after="156" w:line="590" w:lineRule="exact"/>
        <w:ind w:firstLine="643" w:firstLineChars="200"/>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诊断</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应用最广泛的AD诊断标准是由2011年美国国立老化研究所和阿尔茨海默协会（National Institute of Aging and Alzheimer’s Association，NIA-AA）对1984年AD的诊断标准的修订，其制定了AD不同阶段的诊断标准，包括AD痴呆阶段及AD源性MCI期的诊断标准。</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在AD诊断前，首先要确定患者是否符合痴呆的诊断标准。符合下列条件可诊断为痴呆：</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（1）至少以下2个认知域损害，可伴或不伴行为症状：</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1）学习和记忆能力。</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2）语言功能（听、说、读、写）。</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3）推理和判断能力。</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4）执行功能和处理复杂任务的能力。</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5）视空间功能。</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可伴或不伴有：</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6）人格、行为改变。</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（2）工作能力或日常生活能力受到影响。</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（3）无法用谵妄或精神障碍解释。</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在确定痴呆后，才可考虑是否符合AD的诊断。AD的诊断分下面几种：</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1．AD痴呆阶段的临床诊断标准：</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很可能的AD痴呆：</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核心临床标准：①符合痴呆诊断标准；②起病隐袭，症状在数月至数年中逐渐出现；③明确的认知损害病史；④表现为遗忘综合征（学习和近记忆下降，伴1个或1个以上其他认知域损害），或者非遗忘综合征（语言、视空间或执行功能三者之一损害，伴1个或1个以上其他认知域损害）。</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排除标准：①伴有与认知障碍发生或恶化相关的卒中史，或存在多发或广泛脑梗死，或存在严重的白质病变；②有路易体痴呆的核心症状；③有额颞叶痴呆的显著特征；④有原发性进行性失语的显著性特征；⑤有其他引起记忆和认知功能损害的神经系统疾病，或非神经系统疾病，或药物过量或滥用证据。</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3）支持标准：①在以知情人提供和正规神经心理学检查得到的信息为基础的评估中，发现进行性认知下降的证据；②找到致病基因（APP、PSEN1或PSEN2）突变的证据。</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2．AD源性MCI的临床诊断标准：</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（1）符合MCI的临床表现：①患者主诉，或者知情者、医生发现的认知功能改变；②一个或多个认知领域受损的客观证据，尤其是记忆受损；③日常生活能力基本正常；④未达痴呆标准。</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（2）符合AD病理生理过程：①排除血管性、创伤性、医源性引起的认知功能障碍；②有纵向随访发现认知功能持续下降的证据；③有与AD遗传因素相关的病史。</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2018年NIA-AA提出，在临床研究中纳入基于生物标志物的ATN框架，可提高AD型痴呆和AD源性MCI诊断的可靠度。此外，还有助于开展pre-MCI期的研究，此阶段患者尚无临床症状，诊断主要依赖生物标志物。</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D相关生物标志物按照种类可分为体液标记物、影像标记物、遗传标记物等。按照在AD诊断中的作用可以分为：诊断标志物和疾病进展标志物。按照生物标志物的病理生理学意义可以分为：①反映Aβ沉积（A），包括脑脊液Aβ42水平和使用Aβ标记配体示踪剂的PET成像；②反映tau蛋白沉积（T）：包括磷酸化tau蛋白水平和使用tau示踪剂的PET成像③反映神经元损伤(N):，包括脑脊液总tau蛋白和结构MRI、氟脱氧葡萄糖PET成像、SPECT灌注成像等。</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基于生物学标志物的ATN诊断框架，详见见附表</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表1 生物标志物模式及分类</w:t>
      </w:r>
    </w:p>
    <w:tbl>
      <w:tblPr>
        <w:tblStyle w:val="4"/>
        <w:tblW w:w="8188" w:type="dxa"/>
        <w:jc w:val="center"/>
        <w:tblLayout w:type="autofit"/>
        <w:tblCellMar>
          <w:top w:w="0" w:type="dxa"/>
          <w:left w:w="108" w:type="dxa"/>
          <w:bottom w:w="0" w:type="dxa"/>
          <w:right w:w="108" w:type="dxa"/>
        </w:tblCellMar>
      </w:tblPr>
      <w:tblGrid>
        <w:gridCol w:w="1756"/>
        <w:gridCol w:w="3420"/>
        <w:gridCol w:w="3228"/>
      </w:tblGrid>
      <w:tr>
        <w:tblPrEx>
          <w:tblCellMar>
            <w:top w:w="0" w:type="dxa"/>
            <w:left w:w="108" w:type="dxa"/>
            <w:bottom w:w="0" w:type="dxa"/>
            <w:right w:w="108" w:type="dxa"/>
          </w:tblCellMar>
        </w:tblPrEx>
        <w:trPr>
          <w:trHeight w:val="375" w:hRule="atLeast"/>
          <w:jc w:val="center"/>
        </w:trPr>
        <w:tc>
          <w:tcPr>
            <w:tcW w:w="1540" w:type="dxa"/>
            <w:tcBorders>
              <w:top w:val="single" w:color="auto" w:sz="4" w:space="0"/>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ATN模式</w:t>
            </w:r>
          </w:p>
        </w:tc>
        <w:tc>
          <w:tcPr>
            <w:tcW w:w="3420" w:type="dxa"/>
            <w:tcBorders>
              <w:top w:val="single" w:color="auto" w:sz="4" w:space="0"/>
              <w:left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分类</w:t>
            </w:r>
          </w:p>
        </w:tc>
        <w:tc>
          <w:tcPr>
            <w:tcW w:w="3228" w:type="dxa"/>
            <w:tcBorders>
              <w:top w:val="single" w:color="auto" w:sz="4" w:space="0"/>
              <w:left w:val="nil"/>
              <w:bottom w:val="single" w:color="auto" w:sz="4" w:space="0"/>
            </w:tcBorders>
            <w:shd w:val="clear" w:color="auto" w:fill="auto"/>
            <w:noWrap/>
            <w:vAlign w:val="bottom"/>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w:t>
            </w:r>
          </w:p>
        </w:tc>
      </w:tr>
      <w:tr>
        <w:tblPrEx>
          <w:tblCellMar>
            <w:top w:w="0" w:type="dxa"/>
            <w:left w:w="108" w:type="dxa"/>
            <w:bottom w:w="0" w:type="dxa"/>
            <w:right w:w="108" w:type="dxa"/>
          </w:tblCellMar>
        </w:tblPrEx>
        <w:trPr>
          <w:trHeight w:val="441" w:hRule="atLeast"/>
          <w:jc w:val="center"/>
        </w:trPr>
        <w:tc>
          <w:tcPr>
            <w:tcW w:w="1540" w:type="dxa"/>
            <w:tcBorders>
              <w:top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w:t>
            </w:r>
          </w:p>
        </w:tc>
        <w:tc>
          <w:tcPr>
            <w:tcW w:w="3420" w:type="dxa"/>
            <w:tcBorders>
              <w:top w:val="nil"/>
              <w:left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正常</w:t>
            </w:r>
          </w:p>
        </w:tc>
        <w:tc>
          <w:tcPr>
            <w:tcW w:w="3228" w:type="dxa"/>
            <w:tcBorders>
              <w:top w:val="nil"/>
              <w:left w:val="nil"/>
              <w:bottom w:val="single" w:color="auto" w:sz="4" w:space="0"/>
            </w:tcBorders>
            <w:shd w:val="clear" w:color="auto" w:fill="auto"/>
            <w:noWrap/>
            <w:vAlign w:val="bottom"/>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w:t>
            </w:r>
          </w:p>
        </w:tc>
      </w:tr>
      <w:tr>
        <w:tblPrEx>
          <w:tblCellMar>
            <w:top w:w="0" w:type="dxa"/>
            <w:left w:w="108" w:type="dxa"/>
            <w:bottom w:w="0" w:type="dxa"/>
            <w:right w:w="108" w:type="dxa"/>
          </w:tblCellMar>
        </w:tblPrEx>
        <w:trPr>
          <w:trHeight w:val="276" w:hRule="atLeast"/>
          <w:jc w:val="center"/>
        </w:trPr>
        <w:tc>
          <w:tcPr>
            <w:tcW w:w="1540" w:type="dxa"/>
            <w:tcBorders>
              <w:top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w:t>
            </w:r>
          </w:p>
        </w:tc>
        <w:tc>
          <w:tcPr>
            <w:tcW w:w="3420" w:type="dxa"/>
            <w:tcBorders>
              <w:top w:val="nil"/>
              <w:left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AD病理改变</w:t>
            </w:r>
          </w:p>
        </w:tc>
        <w:tc>
          <w:tcPr>
            <w:tcW w:w="3228" w:type="dxa"/>
            <w:vMerge w:val="restart"/>
            <w:tcBorders>
              <w:top w:val="nil"/>
              <w:left w:val="single" w:color="auto" w:sz="4" w:space="0"/>
              <w:bottom w:val="single" w:color="000000"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阿尔茨海默病疾病谱</w:t>
            </w:r>
          </w:p>
        </w:tc>
      </w:tr>
      <w:tr>
        <w:tblPrEx>
          <w:tblCellMar>
            <w:top w:w="0" w:type="dxa"/>
            <w:left w:w="108" w:type="dxa"/>
            <w:bottom w:w="0" w:type="dxa"/>
            <w:right w:w="108" w:type="dxa"/>
          </w:tblCellMar>
        </w:tblPrEx>
        <w:trPr>
          <w:trHeight w:val="276" w:hRule="atLeast"/>
          <w:jc w:val="center"/>
        </w:trPr>
        <w:tc>
          <w:tcPr>
            <w:tcW w:w="1540" w:type="dxa"/>
            <w:tcBorders>
              <w:top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w:t>
            </w:r>
          </w:p>
        </w:tc>
        <w:tc>
          <w:tcPr>
            <w:tcW w:w="3420" w:type="dxa"/>
            <w:tcBorders>
              <w:top w:val="nil"/>
              <w:left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AD</w:t>
            </w:r>
          </w:p>
        </w:tc>
        <w:tc>
          <w:tcPr>
            <w:tcW w:w="3228" w:type="dxa"/>
            <w:vMerge w:val="continue"/>
            <w:tcBorders>
              <w:top w:val="nil"/>
              <w:left w:val="single" w:color="auto" w:sz="4" w:space="0"/>
              <w:bottom w:val="single" w:color="000000" w:sz="4" w:space="0"/>
            </w:tcBorders>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p>
        </w:tc>
      </w:tr>
      <w:tr>
        <w:tblPrEx>
          <w:tblCellMar>
            <w:top w:w="0" w:type="dxa"/>
            <w:left w:w="108" w:type="dxa"/>
            <w:bottom w:w="0" w:type="dxa"/>
            <w:right w:w="108" w:type="dxa"/>
          </w:tblCellMar>
        </w:tblPrEx>
        <w:trPr>
          <w:trHeight w:val="276" w:hRule="atLeast"/>
          <w:jc w:val="center"/>
        </w:trPr>
        <w:tc>
          <w:tcPr>
            <w:tcW w:w="1540" w:type="dxa"/>
            <w:tcBorders>
              <w:top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w:t>
            </w:r>
          </w:p>
        </w:tc>
        <w:tc>
          <w:tcPr>
            <w:tcW w:w="3420" w:type="dxa"/>
            <w:tcBorders>
              <w:top w:val="nil"/>
              <w:left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AD</w:t>
            </w:r>
          </w:p>
        </w:tc>
        <w:tc>
          <w:tcPr>
            <w:tcW w:w="3228" w:type="dxa"/>
            <w:vMerge w:val="continue"/>
            <w:tcBorders>
              <w:top w:val="nil"/>
              <w:left w:val="single" w:color="auto" w:sz="4" w:space="0"/>
              <w:bottom w:val="single" w:color="000000" w:sz="4" w:space="0"/>
            </w:tcBorders>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p>
        </w:tc>
      </w:tr>
      <w:tr>
        <w:tblPrEx>
          <w:tblCellMar>
            <w:top w:w="0" w:type="dxa"/>
            <w:left w:w="108" w:type="dxa"/>
            <w:bottom w:w="0" w:type="dxa"/>
            <w:right w:w="108" w:type="dxa"/>
          </w:tblCellMar>
        </w:tblPrEx>
        <w:trPr>
          <w:trHeight w:val="276" w:hRule="atLeast"/>
          <w:jc w:val="center"/>
        </w:trPr>
        <w:tc>
          <w:tcPr>
            <w:tcW w:w="1540" w:type="dxa"/>
            <w:tcBorders>
              <w:top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w:t>
            </w:r>
          </w:p>
        </w:tc>
        <w:tc>
          <w:tcPr>
            <w:tcW w:w="3420" w:type="dxa"/>
            <w:tcBorders>
              <w:top w:val="nil"/>
              <w:left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AD和可疑的非AD病理改变共病</w:t>
            </w:r>
          </w:p>
        </w:tc>
        <w:tc>
          <w:tcPr>
            <w:tcW w:w="3228" w:type="dxa"/>
            <w:vMerge w:val="continue"/>
            <w:tcBorders>
              <w:top w:val="nil"/>
              <w:left w:val="single" w:color="auto" w:sz="4" w:space="0"/>
              <w:bottom w:val="single" w:color="000000" w:sz="4" w:space="0"/>
            </w:tcBorders>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p>
        </w:tc>
      </w:tr>
      <w:tr>
        <w:tblPrEx>
          <w:tblCellMar>
            <w:top w:w="0" w:type="dxa"/>
            <w:left w:w="108" w:type="dxa"/>
            <w:bottom w:w="0" w:type="dxa"/>
            <w:right w:w="108" w:type="dxa"/>
          </w:tblCellMar>
        </w:tblPrEx>
        <w:trPr>
          <w:trHeight w:val="276" w:hRule="atLeast"/>
          <w:jc w:val="center"/>
        </w:trPr>
        <w:tc>
          <w:tcPr>
            <w:tcW w:w="1540" w:type="dxa"/>
            <w:tcBorders>
              <w:top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w:t>
            </w:r>
          </w:p>
        </w:tc>
        <w:tc>
          <w:tcPr>
            <w:tcW w:w="6648" w:type="dxa"/>
            <w:gridSpan w:val="2"/>
            <w:tcBorders>
              <w:top w:val="single" w:color="auto" w:sz="4" w:space="0"/>
              <w:left w:val="nil"/>
              <w:bottom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非AD病理改变</w:t>
            </w:r>
          </w:p>
        </w:tc>
      </w:tr>
      <w:tr>
        <w:tblPrEx>
          <w:tblCellMar>
            <w:top w:w="0" w:type="dxa"/>
            <w:left w:w="108" w:type="dxa"/>
            <w:bottom w:w="0" w:type="dxa"/>
            <w:right w:w="108" w:type="dxa"/>
          </w:tblCellMar>
        </w:tblPrEx>
        <w:trPr>
          <w:trHeight w:val="276" w:hRule="atLeast"/>
          <w:jc w:val="center"/>
        </w:trPr>
        <w:tc>
          <w:tcPr>
            <w:tcW w:w="1540" w:type="dxa"/>
            <w:tcBorders>
              <w:top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w:t>
            </w:r>
          </w:p>
        </w:tc>
        <w:tc>
          <w:tcPr>
            <w:tcW w:w="6648" w:type="dxa"/>
            <w:gridSpan w:val="2"/>
            <w:tcBorders>
              <w:top w:val="single" w:color="auto" w:sz="4" w:space="0"/>
              <w:left w:val="nil"/>
              <w:bottom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非AD病理改变</w:t>
            </w:r>
          </w:p>
        </w:tc>
      </w:tr>
      <w:tr>
        <w:tblPrEx>
          <w:tblCellMar>
            <w:top w:w="0" w:type="dxa"/>
            <w:left w:w="108" w:type="dxa"/>
            <w:bottom w:w="0" w:type="dxa"/>
            <w:right w:w="108" w:type="dxa"/>
          </w:tblCellMar>
        </w:tblPrEx>
        <w:trPr>
          <w:trHeight w:val="276" w:hRule="atLeast"/>
          <w:jc w:val="center"/>
        </w:trPr>
        <w:tc>
          <w:tcPr>
            <w:tcW w:w="1540" w:type="dxa"/>
            <w:tcBorders>
              <w:top w:val="nil"/>
              <w:bottom w:val="single" w:color="auto" w:sz="4" w:space="0"/>
              <w:right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A-T+(N)+</w:t>
            </w:r>
          </w:p>
        </w:tc>
        <w:tc>
          <w:tcPr>
            <w:tcW w:w="6648" w:type="dxa"/>
            <w:gridSpan w:val="2"/>
            <w:tcBorders>
              <w:top w:val="single" w:color="auto" w:sz="4" w:space="0"/>
              <w:left w:val="nil"/>
              <w:bottom w:val="single" w:color="auto" w:sz="4" w:space="0"/>
            </w:tcBorders>
            <w:shd w:val="clear" w:color="auto" w:fill="auto"/>
            <w:noWrap/>
            <w:vAlign w:val="center"/>
          </w:tcPr>
          <w:p>
            <w:pPr>
              <w:numPr>
                <w:ilvl w:val="0"/>
                <w:numId w:val="0"/>
              </w:numPr>
              <w:spacing w:after="156" w:line="360" w:lineRule="auto"/>
              <w:ind w:firstLine="480" w:firstLineChars="200"/>
              <w:textAlignment w:val="baseline"/>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非AD病理改变</w:t>
            </w:r>
          </w:p>
        </w:tc>
      </w:tr>
    </w:tbl>
    <w:p>
      <w:pPr>
        <w:spacing w:after="156" w:line="360" w:lineRule="auto"/>
        <w:ind w:firstLine="482" w:firstLineChars="200"/>
        <w:textAlignment w:val="baseline"/>
        <w:rPr>
          <w:rFonts w:hint="eastAsia" w:ascii="Times New Roman" w:hAnsi="Times New Roman" w:eastAsia="宋体" w:cs="Times New Roman"/>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治疗</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AD发病机制尚不明确，目前还没有确定的能有效逆转疾病进程的药物。目前治疗主要包括：针对神经递质改变及病理蛋白的药物治疗、认知训练等其他非药物治疗，以及合理的护理支持等。</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1．药物治疗</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（1）改善认知功能：</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针对纠正神经递质失衡的促智药物：①胆碱酯酶抑制剂（ChEI）：通过抑制神经元突触间隙的乙酰胆碱酯酶进而增强对胆碱能受体的刺激，是目前用于改善AD认知功能的一线药物。②N-甲基-D-门冬氨酸（NMDA）受体拮抗剂：具有调节谷氨酸活性的作用，用于中晚期AD患者的治疗，代表药物是美金刚，也是目前用于AD治疗的常用药物。</w:t>
      </w:r>
    </w:p>
    <w:tbl>
      <w:tblPr>
        <w:tblStyle w:val="4"/>
        <w:tblW w:w="79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4"/>
        <w:gridCol w:w="549"/>
        <w:gridCol w:w="2698"/>
        <w:gridCol w:w="2241"/>
        <w:gridCol w:w="19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jc w:val="center"/>
        </w:trPr>
        <w:tc>
          <w:tcPr>
            <w:tcW w:w="574" w:type="dxa"/>
            <w:tcBorders>
              <w:top w:val="single" w:color="000000" w:sz="4" w:space="0"/>
              <w:left w:val="single" w:color="000000" w:sz="4" w:space="0"/>
              <w:bottom w:val="single" w:color="000000" w:sz="4" w:space="0"/>
              <w:right w:val="single" w:color="000000" w:sz="4" w:space="0"/>
            </w:tcBorders>
            <w:shd w:val="clear" w:color="auto" w:fill="D8D8D8"/>
            <w:textDirection w:val="tbRlV"/>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药品名称</w:t>
            </w:r>
          </w:p>
        </w:tc>
        <w:tc>
          <w:tcPr>
            <w:tcW w:w="528" w:type="dxa"/>
            <w:tcBorders>
              <w:top w:val="single" w:color="000000" w:sz="4" w:space="0"/>
              <w:left w:val="single" w:color="000000" w:sz="4" w:space="0"/>
              <w:bottom w:val="single" w:color="000000" w:sz="4" w:space="0"/>
              <w:right w:val="single" w:color="000000" w:sz="4" w:space="0"/>
            </w:tcBorders>
            <w:shd w:val="clear" w:color="auto" w:fill="D8D8D8"/>
            <w:textDirection w:val="tbRlV"/>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适用阶段</w:t>
            </w:r>
          </w:p>
        </w:tc>
        <w:tc>
          <w:tcPr>
            <w:tcW w:w="2705" w:type="dxa"/>
            <w:tcBorders>
              <w:top w:val="single" w:color="000000" w:sz="4" w:space="0"/>
              <w:left w:val="single" w:color="000000" w:sz="4" w:space="0"/>
              <w:bottom w:val="single" w:color="000000" w:sz="4" w:space="0"/>
              <w:right w:val="single" w:color="000000" w:sz="4" w:space="0"/>
            </w:tcBorders>
            <w:shd w:val="clear" w:color="auto" w:fill="D7D7D7"/>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用量</w:t>
            </w:r>
          </w:p>
        </w:tc>
        <w:tc>
          <w:tcPr>
            <w:tcW w:w="2249" w:type="dxa"/>
            <w:tcBorders>
              <w:top w:val="single" w:color="000000" w:sz="4" w:space="0"/>
              <w:left w:val="single" w:color="000000" w:sz="4" w:space="0"/>
              <w:bottom w:val="single" w:color="000000" w:sz="4" w:space="0"/>
              <w:right w:val="single" w:color="000000" w:sz="4" w:space="0"/>
            </w:tcBorders>
            <w:shd w:val="clear" w:color="auto" w:fill="D7D7D7"/>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注意事项</w:t>
            </w:r>
          </w:p>
        </w:tc>
        <w:tc>
          <w:tcPr>
            <w:tcW w:w="1914" w:type="dxa"/>
            <w:tcBorders>
              <w:top w:val="single" w:color="000000" w:sz="4" w:space="0"/>
              <w:left w:val="single" w:color="000000" w:sz="4" w:space="0"/>
              <w:bottom w:val="single" w:color="000000" w:sz="4" w:space="0"/>
              <w:right w:val="single" w:color="000000" w:sz="4" w:space="0"/>
            </w:tcBorders>
            <w:shd w:val="clear" w:color="auto" w:fill="D7D7D7"/>
            <w:vAlign w:val="center"/>
          </w:tcPr>
          <w:p>
            <w:pPr>
              <w:keepNext w:val="0"/>
              <w:keepLines w:val="0"/>
              <w:widowControl/>
              <w:suppressLineNumbers w:val="0"/>
              <w:jc w:val="center"/>
              <w:textAlignment w:val="center"/>
              <w:rPr>
                <w:rFonts w:ascii="Arial" w:hAnsi="Arial" w:cs="Arial"/>
                <w:i w:val="0"/>
                <w:iCs w:val="0"/>
                <w:color w:val="000000"/>
                <w:sz w:val="21"/>
                <w:szCs w:val="21"/>
                <w:u w:val="none"/>
              </w:rPr>
            </w:pPr>
            <w:r>
              <w:rPr>
                <w:rStyle w:val="11"/>
                <w:sz w:val="21"/>
                <w:szCs w:val="21"/>
                <w:lang w:val="en-US" w:eastAsia="zh-CN" w:bidi="ar"/>
              </w:rPr>
              <w:t>不良反应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7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多奈哌齐</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所有阶段</w:t>
            </w:r>
          </w:p>
        </w:tc>
        <w:tc>
          <w:tcPr>
            <w:tcW w:w="2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1"/>
                <w:sz w:val="21"/>
                <w:szCs w:val="21"/>
                <w:lang w:val="en-US" w:eastAsia="zh-CN" w:bidi="ar"/>
              </w:rPr>
            </w:pPr>
            <w:r>
              <w:rPr>
                <w:rStyle w:val="11"/>
                <w:sz w:val="21"/>
                <w:szCs w:val="21"/>
                <w:lang w:val="en-US" w:eastAsia="zh-CN" w:bidi="ar"/>
              </w:rPr>
              <w:t>轻中度(5 - 10mg);起始5</w:t>
            </w:r>
          </w:p>
          <w:p>
            <w:pPr>
              <w:keepNext w:val="0"/>
              <w:keepLines w:val="0"/>
              <w:widowControl/>
              <w:suppressLineNumbers w:val="0"/>
              <w:jc w:val="left"/>
              <w:textAlignment w:val="center"/>
              <w:rPr>
                <w:rFonts w:hint="default" w:ascii="Arial" w:hAnsi="Arial" w:cs="Arial"/>
                <w:i w:val="0"/>
                <w:iCs w:val="0"/>
                <w:color w:val="000000"/>
                <w:sz w:val="21"/>
                <w:szCs w:val="21"/>
                <w:u w:val="none"/>
              </w:rPr>
            </w:pPr>
            <w:r>
              <w:rPr>
                <w:rStyle w:val="11"/>
                <w:sz w:val="21"/>
                <w:szCs w:val="21"/>
                <w:lang w:val="en-US" w:eastAsia="zh-CN" w:bidi="ar"/>
              </w:rPr>
              <w:t>mg qd,可增至10mg qd</w:t>
            </w:r>
          </w:p>
        </w:tc>
        <w:tc>
          <w:tcPr>
            <w:tcW w:w="22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睡前服用，与食物一起</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服用减少胃肠道反应，</w:t>
            </w:r>
          </w:p>
          <w:p>
            <w:pPr>
              <w:keepNext w:val="0"/>
              <w:keepLines w:val="0"/>
              <w:widowControl/>
              <w:suppressLineNumbers w:val="0"/>
              <w:jc w:val="left"/>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 xml:space="preserve">胃肠道症状通常1-3周消失 </w:t>
            </w:r>
          </w:p>
        </w:tc>
        <w:tc>
          <w:tcPr>
            <w:tcW w:w="1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易出现腹泻。恶心、呕吐、肌肉痉挛</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头晕、体重减轻等</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卡巴拉汀透皮贴剂</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可明显改善育肠道</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副作用，随着药物</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剂量增加，不良反</w:t>
            </w:r>
          </w:p>
          <w:p>
            <w:pPr>
              <w:keepNext w:val="0"/>
              <w:keepLines w:val="0"/>
              <w:widowControl/>
              <w:suppressLineNumbers w:val="0"/>
              <w:jc w:val="left"/>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应发生率升高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1"/>
                <w:szCs w:val="21"/>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1"/>
                <w:szCs w:val="21"/>
                <w:u w:val="none"/>
              </w:rPr>
            </w:pPr>
          </w:p>
        </w:tc>
        <w:tc>
          <w:tcPr>
            <w:tcW w:w="2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1"/>
                <w:sz w:val="21"/>
                <w:szCs w:val="21"/>
                <w:lang w:val="en-US" w:eastAsia="zh-CN" w:bidi="ar"/>
              </w:rPr>
            </w:pPr>
            <w:r>
              <w:rPr>
                <w:rStyle w:val="11"/>
                <w:sz w:val="21"/>
                <w:szCs w:val="21"/>
                <w:lang w:val="en-US" w:eastAsia="zh-CN" w:bidi="ar"/>
              </w:rPr>
              <w:t>中重度(10 - 23 mg):起始5</w:t>
            </w:r>
          </w:p>
          <w:p>
            <w:pPr>
              <w:keepNext w:val="0"/>
              <w:keepLines w:val="0"/>
              <w:widowControl/>
              <w:suppressLineNumbers w:val="0"/>
              <w:jc w:val="left"/>
              <w:textAlignment w:val="center"/>
              <w:rPr>
                <w:rFonts w:hint="default" w:ascii="Arial" w:hAnsi="Arial" w:cs="Arial"/>
                <w:i w:val="0"/>
                <w:iCs w:val="0"/>
                <w:color w:val="000000"/>
                <w:sz w:val="21"/>
                <w:szCs w:val="21"/>
                <w:u w:val="none"/>
              </w:rPr>
            </w:pPr>
            <w:r>
              <w:rPr>
                <w:rStyle w:val="11"/>
                <w:sz w:val="21"/>
                <w:szCs w:val="21"/>
                <w:lang w:val="en-US" w:eastAsia="zh-CN" w:bidi="ar"/>
              </w:rPr>
              <w:t>mg qd,可增至10 mg qd . 3个月后增至23 mg qd</w:t>
            </w:r>
          </w:p>
        </w:tc>
        <w:tc>
          <w:tcPr>
            <w:tcW w:w="2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1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574"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加兰他敏</w:t>
            </w:r>
          </w:p>
        </w:tc>
        <w:tc>
          <w:tcPr>
            <w:tcW w:w="528"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Style w:val="11"/>
                <w:sz w:val="21"/>
                <w:szCs w:val="21"/>
                <w:lang w:val="en-US" w:eastAsia="zh-CN" w:bidi="ar"/>
              </w:rPr>
              <w:t>轻中度</w:t>
            </w:r>
          </w:p>
        </w:tc>
        <w:tc>
          <w:tcPr>
            <w:tcW w:w="2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1"/>
                <w:szCs w:val="21"/>
                <w:u w:val="none"/>
                <w:lang w:val="en-US"/>
              </w:rPr>
            </w:pPr>
            <w:r>
              <w:rPr>
                <w:rFonts w:ascii="宋体" w:hAnsi="宋体" w:eastAsia="宋体" w:cs="宋体"/>
                <w:i w:val="0"/>
                <w:iCs w:val="0"/>
                <w:color w:val="000000"/>
                <w:kern w:val="0"/>
                <w:sz w:val="21"/>
                <w:szCs w:val="21"/>
                <w:u w:val="none"/>
                <w:lang w:val="en-US" w:eastAsia="zh-CN" w:bidi="ar"/>
              </w:rPr>
              <w:t>起始4 mg bid,</w:t>
            </w:r>
            <w:r>
              <w:rPr>
                <w:rFonts w:hint="eastAsia" w:ascii="宋体" w:hAnsi="宋体" w:eastAsia="宋体" w:cs="宋体"/>
                <w:i w:val="0"/>
                <w:iCs w:val="0"/>
                <w:color w:val="000000"/>
                <w:kern w:val="0"/>
                <w:sz w:val="21"/>
                <w:szCs w:val="21"/>
                <w:u w:val="none"/>
                <w:lang w:val="en-US" w:eastAsia="zh-CN" w:bidi="ar"/>
              </w:rPr>
              <w:t>每</w:t>
            </w:r>
            <w:r>
              <w:rPr>
                <w:rFonts w:ascii="宋体" w:hAnsi="宋体" w:eastAsia="宋体" w:cs="宋体"/>
                <w:i w:val="0"/>
                <w:iCs w:val="0"/>
                <w:color w:val="000000"/>
                <w:kern w:val="0"/>
                <w:sz w:val="21"/>
                <w:szCs w:val="21"/>
                <w:u w:val="none"/>
                <w:lang w:val="en-US" w:eastAsia="zh-CN" w:bidi="ar"/>
              </w:rPr>
              <w:t>4周后可</w:t>
            </w:r>
            <w:r>
              <w:rPr>
                <w:rFonts w:hint="eastAsia" w:ascii="宋体" w:hAnsi="宋体" w:eastAsia="宋体" w:cs="宋体"/>
                <w:i w:val="0"/>
                <w:iCs w:val="0"/>
                <w:color w:val="000000"/>
                <w:kern w:val="0"/>
                <w:sz w:val="21"/>
                <w:szCs w:val="21"/>
                <w:u w:val="none"/>
                <w:lang w:val="en-US" w:eastAsia="zh-CN" w:bidi="ar"/>
              </w:rPr>
              <w:t>增加8mg/24h，增至12mg bid</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整粒顿服，不要嚼碎</w:t>
            </w:r>
          </w:p>
        </w:tc>
        <w:tc>
          <w:tcPr>
            <w:tcW w:w="1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jc w:val="center"/>
        </w:trPr>
        <w:tc>
          <w:tcPr>
            <w:tcW w:w="574"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卡巴拉汀</w:t>
            </w:r>
          </w:p>
        </w:tc>
        <w:tc>
          <w:tcPr>
            <w:tcW w:w="528"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Style w:val="11"/>
                <w:sz w:val="21"/>
                <w:szCs w:val="21"/>
                <w:lang w:val="en-US" w:eastAsia="zh-CN" w:bidi="ar"/>
              </w:rPr>
              <w:t>轻中度</w:t>
            </w:r>
          </w:p>
        </w:tc>
        <w:tc>
          <w:tcPr>
            <w:tcW w:w="270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口服：起始1.5 mg bid逐渐增加</w:t>
            </w:r>
            <w:r>
              <w:rPr>
                <w:rFonts w:hint="eastAsia" w:ascii="宋体" w:hAnsi="宋体" w:eastAsia="宋体" w:cs="宋体"/>
                <w:i w:val="0"/>
                <w:iCs w:val="0"/>
                <w:color w:val="000000"/>
                <w:kern w:val="0"/>
                <w:sz w:val="21"/>
                <w:szCs w:val="21"/>
                <w:u w:val="none"/>
                <w:lang w:val="en-US" w:eastAsia="zh-CN" w:bidi="ar"/>
              </w:rPr>
              <w:t>，</w:t>
            </w:r>
            <w:r>
              <w:rPr>
                <w:rFonts w:ascii="宋体" w:hAnsi="宋体" w:eastAsia="宋体" w:cs="宋体"/>
                <w:i w:val="0"/>
                <w:iCs w:val="0"/>
                <w:color w:val="000000"/>
                <w:kern w:val="0"/>
                <w:sz w:val="21"/>
                <w:szCs w:val="21"/>
                <w:u w:val="none"/>
                <w:lang w:val="en-US" w:eastAsia="zh-CN" w:bidi="ar"/>
              </w:rPr>
              <w:t>最大可至6 mg bid</w:t>
            </w:r>
          </w:p>
          <w:p>
            <w:pPr>
              <w:keepNext w:val="0"/>
              <w:keepLines w:val="0"/>
              <w:widowControl/>
              <w:suppressLineNumbers w:val="0"/>
              <w:jc w:val="left"/>
              <w:textAlignment w:val="bottom"/>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透皮贴制：起始4.mg/24h,</w:t>
            </w:r>
          </w:p>
          <w:p>
            <w:pPr>
              <w:keepNext w:val="0"/>
              <w:keepLines w:val="0"/>
              <w:widowControl/>
              <w:suppressLineNumbers w:val="0"/>
              <w:jc w:val="left"/>
              <w:textAlignment w:val="bottom"/>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4周后可道至9.5 mg/24h,最大可增至13.3 mg/24h</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透皮贴剂</w:t>
            </w:r>
          </w:p>
          <w:p>
            <w:pPr>
              <w:keepNext w:val="0"/>
              <w:keepLines w:val="0"/>
              <w:widowControl/>
              <w:suppressLineNumbers w:val="0"/>
              <w:jc w:val="left"/>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每次贴剂应贴于新的皮肤之处</w:t>
            </w:r>
            <w:r>
              <w:rPr>
                <w:rFonts w:hint="eastAsia" w:ascii="宋体" w:hAnsi="宋体" w:eastAsia="宋体" w:cs="宋体"/>
                <w:i w:val="0"/>
                <w:iCs w:val="0"/>
                <w:color w:val="000000"/>
                <w:kern w:val="0"/>
                <w:sz w:val="21"/>
                <w:szCs w:val="21"/>
                <w:u w:val="none"/>
                <w:lang w:val="en-US" w:eastAsia="zh-CN" w:bidi="ar"/>
              </w:rPr>
              <w:t>；</w:t>
            </w:r>
            <w:r>
              <w:rPr>
                <w:rFonts w:ascii="宋体" w:hAnsi="宋体" w:eastAsia="宋体" w:cs="宋体"/>
                <w:i w:val="0"/>
                <w:iCs w:val="0"/>
                <w:color w:val="000000"/>
                <w:kern w:val="0"/>
                <w:sz w:val="21"/>
                <w:szCs w:val="21"/>
                <w:u w:val="none"/>
                <w:lang w:val="en-US" w:eastAsia="zh-CN" w:bidi="ar"/>
              </w:rPr>
              <w:t>每处14天内不能重复</w:t>
            </w:r>
            <w:r>
              <w:rPr>
                <w:rFonts w:hint="eastAsia" w:ascii="宋体" w:hAnsi="宋体" w:eastAsia="宋体" w:cs="宋体"/>
                <w:i w:val="0"/>
                <w:iCs w:val="0"/>
                <w:color w:val="000000"/>
                <w:kern w:val="0"/>
                <w:sz w:val="21"/>
                <w:szCs w:val="21"/>
                <w:u w:val="none"/>
                <w:lang w:val="en-US" w:eastAsia="zh-CN" w:bidi="ar"/>
              </w:rPr>
              <w:t>；</w:t>
            </w:r>
            <w:r>
              <w:rPr>
                <w:rFonts w:ascii="宋体" w:hAnsi="宋体" w:eastAsia="宋体" w:cs="宋体"/>
                <w:i w:val="0"/>
                <w:iCs w:val="0"/>
                <w:color w:val="000000"/>
                <w:kern w:val="0"/>
                <w:sz w:val="21"/>
                <w:szCs w:val="21"/>
                <w:u w:val="none"/>
                <w:lang w:val="en-US" w:eastAsia="zh-CN" w:bidi="ar"/>
              </w:rPr>
              <w:t>在行MRI检查前取下贴片 .</w:t>
            </w:r>
          </w:p>
        </w:tc>
        <w:tc>
          <w:tcPr>
            <w:tcW w:w="1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574"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美金刚</w:t>
            </w:r>
          </w:p>
        </w:tc>
        <w:tc>
          <w:tcPr>
            <w:tcW w:w="528"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中重度</w:t>
            </w:r>
          </w:p>
        </w:tc>
        <w:tc>
          <w:tcPr>
            <w:tcW w:w="2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1"/>
                <w:sz w:val="21"/>
                <w:szCs w:val="21"/>
                <w:lang w:val="en-US" w:eastAsia="zh-CN" w:bidi="ar"/>
              </w:rPr>
            </w:pPr>
            <w:r>
              <w:rPr>
                <w:rStyle w:val="11"/>
                <w:sz w:val="21"/>
                <w:szCs w:val="21"/>
                <w:lang w:val="en-US" w:eastAsia="zh-CN" w:bidi="ar"/>
              </w:rPr>
              <w:t>起始5 mg qd,</w:t>
            </w:r>
          </w:p>
          <w:p>
            <w:pPr>
              <w:keepNext w:val="0"/>
              <w:keepLines w:val="0"/>
              <w:widowControl/>
              <w:suppressLineNumbers w:val="0"/>
              <w:jc w:val="left"/>
              <w:textAlignment w:val="center"/>
              <w:rPr>
                <w:rStyle w:val="11"/>
                <w:sz w:val="21"/>
                <w:szCs w:val="21"/>
                <w:lang w:val="en-US" w:eastAsia="zh-CN" w:bidi="ar"/>
              </w:rPr>
            </w:pPr>
            <w:r>
              <w:rPr>
                <w:rStyle w:val="11"/>
                <w:sz w:val="21"/>
                <w:szCs w:val="21"/>
                <w:lang w:val="en-US" w:eastAsia="zh-CN" w:bidi="ar"/>
              </w:rPr>
              <w:t>4周后逐渐加量</w:t>
            </w:r>
          </w:p>
          <w:p>
            <w:pPr>
              <w:keepNext w:val="0"/>
              <w:keepLines w:val="0"/>
              <w:widowControl/>
              <w:suppressLineNumbers w:val="0"/>
              <w:jc w:val="left"/>
              <w:textAlignment w:val="center"/>
              <w:rPr>
                <w:rFonts w:hint="default" w:ascii="Arial" w:hAnsi="Arial" w:cs="Arial"/>
                <w:i w:val="0"/>
                <w:iCs w:val="0"/>
                <w:color w:val="000000"/>
                <w:sz w:val="21"/>
                <w:szCs w:val="21"/>
                <w:u w:val="none"/>
              </w:rPr>
            </w:pPr>
            <w:r>
              <w:rPr>
                <w:rStyle w:val="11"/>
                <w:sz w:val="21"/>
                <w:szCs w:val="21"/>
                <w:lang w:val="en-US" w:eastAsia="zh-CN" w:bidi="ar"/>
              </w:rPr>
              <w:t>至维持剂期10 mg bid</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default" w:ascii="Arial" w:hAnsi="Arial" w:cs="Arial"/>
                <w:i w:val="0"/>
                <w:iCs w:val="0"/>
                <w:color w:val="000000"/>
                <w:sz w:val="21"/>
                <w:szCs w:val="21"/>
                <w:u w:val="none"/>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耐受性高，较少患</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者服用后也会发生</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副</w:t>
            </w:r>
            <w:r>
              <w:rPr>
                <w:rFonts w:ascii="宋体" w:hAnsi="宋体" w:eastAsia="宋体" w:cs="宋体"/>
                <w:i w:val="0"/>
                <w:iCs w:val="0"/>
                <w:color w:val="000000"/>
                <w:kern w:val="0"/>
                <w:sz w:val="21"/>
                <w:szCs w:val="21"/>
                <w:u w:val="none"/>
                <w:lang w:val="en-US" w:eastAsia="zh-CN" w:bidi="ar"/>
              </w:rPr>
              <w:t>作用，通常为轻</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至中度的不良反应</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主要包括幻觉、意</w:t>
            </w:r>
          </w:p>
          <w:p>
            <w:pPr>
              <w:keepNext w:val="0"/>
              <w:keepLines w:val="0"/>
              <w:widowControl/>
              <w:suppressLineNumbers w:val="0"/>
              <w:jc w:val="left"/>
              <w:textAlignment w:val="center"/>
              <w:rPr>
                <w:rFonts w:ascii="宋体" w:hAnsi="宋体" w:eastAsia="宋体" w:cs="宋体"/>
                <w:i w:val="0"/>
                <w:iCs w:val="0"/>
                <w:color w:val="000000"/>
                <w:kern w:val="0"/>
                <w:sz w:val="21"/>
                <w:szCs w:val="21"/>
                <w:u w:val="none"/>
                <w:lang w:val="en-US" w:eastAsia="zh-CN" w:bidi="ar"/>
              </w:rPr>
            </w:pPr>
            <w:r>
              <w:rPr>
                <w:rFonts w:ascii="宋体" w:hAnsi="宋体" w:eastAsia="宋体" w:cs="宋体"/>
                <w:i w:val="0"/>
                <w:iCs w:val="0"/>
                <w:color w:val="000000"/>
                <w:kern w:val="0"/>
                <w:sz w:val="21"/>
                <w:szCs w:val="21"/>
                <w:u w:val="none"/>
                <w:lang w:val="en-US" w:eastAsia="zh-CN" w:bidi="ar"/>
              </w:rPr>
              <w:t>识模糊、头晕、头</w:t>
            </w:r>
          </w:p>
          <w:p>
            <w:pPr>
              <w:keepNext w:val="0"/>
              <w:keepLines w:val="0"/>
              <w:widowControl/>
              <w:suppressLineNumbers w:val="0"/>
              <w:jc w:val="left"/>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疼和疲劳等</w:t>
            </w:r>
          </w:p>
        </w:tc>
      </w:tr>
    </w:tbl>
    <w:p>
      <w:pPr>
        <w:spacing w:line="360" w:lineRule="auto"/>
        <w:rPr>
          <w:rFonts w:hint="eastAsia"/>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靶向Aβ蛋白的疾病修饰治疗药物：如Aducanumab是一种靶向β淀粉样蛋白的单抗，可以清除患者大脑中寡聚态、纤丝状Aβ，减少淀粉样斑块，改善患者认知功能，减缓AD病情进展，适用于AD源性MCI和轻度AD患者的治疗。使用前需要检查淀粉样蛋白，阳性者才可以用。并且，用药过程中需要监测头颅MR，观察是否会出现淀粉样蛋白相关影像学异常（amyloid related imaging abnormal，ARIA）。</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改善精神行为症状：ChEI和NMDA受体拮抗剂在改善认知功能的同时可缓解AD患者的精神行为异常。ChEI可改善抑郁、淡漠等阴性症状，而美金刚对于激越、攻击、妄想等阳性症状效果较佳。当缺乏满意疗效时可加用抗抑郁药物和抗精神病药物，前者常用选择性5-HT再摄取抑制剂，如西酞普兰、舍曲林等；后者常用非典型抗精神病药，如利培酮、奥氮平、喹硫平等。此类用药原则是：低剂量起始，缓慢增量；采用最小有效剂量，短期使用；注意药物间的相互作用。</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2．非药物治疗 包括生活方式干预、日常生活能力训练、认知干预、精神行为症状控制等。饮食（如地中海饮食、控制烟酒摄入）、改善睡眠质量等生活方式干预对患者改善整体认知能力有益；为患者制定个体化的日常生活能力训练方案，并鼓励进行慢跑、太极等运动疗法；认知干预包含认知训练、认知刺激、认知康复等，可以对患者记忆力、注意力、定向力、计算力等方面进行认知干预；针对精神行为症状，可采用音乐疗法、日光疗法、回忆疗法等针对患者的方法，同时加强对照料者的培训和支持，并有针对性地改造环境；此外，可结合经颅磁刺激、经颅直流电刺激等神经调控技术和虚拟现实等技术开展非药物治疗。</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3．护理及支持治疗 疾病晚期患者自身生活能力严重减退，常导致营养不良、肺部感染、泌尿系感染、压疮等并发症，有效的护理能延长患者的生命及改善患者的生活质量。</w: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pStyle w:val="12"/>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Pr>
          <w:rFonts w:hint="eastAsia" w:ascii="仿宋_GB2312" w:hAnsi="仿宋_GB2312" w:eastAsia="仿宋_GB2312" w:cs="仿宋_GB2312"/>
          <w:b/>
          <w:bCs/>
          <w:kern w:val="2"/>
          <w:sz w:val="32"/>
          <w:szCs w:val="32"/>
          <w:lang w:val="zh-CN" w:eastAsia="zh-CN" w:bidi="ar-SA"/>
        </w:rPr>
      </w:pPr>
      <w:r>
        <w:rPr>
          <w:rFonts w:hint="eastAsia" w:ascii="仿宋_GB2312" w:hAnsi="仿宋_GB2312" w:eastAsia="仿宋_GB2312" w:cs="仿宋_GB2312"/>
          <w:b/>
          <w:bCs/>
          <w:kern w:val="2"/>
          <w:sz w:val="32"/>
          <w:szCs w:val="32"/>
          <w:lang w:val="zh-CN" w:eastAsia="zh-CN" w:bidi="ar-SA"/>
        </w:rPr>
        <w:t>附单项选择题</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阿尔茨海默病的诊断依据不包括</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A．隐袭起病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B．缓慢进展</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C．MMSE 30分</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D．维生素B12正常范围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E．无局灶性神经系统体征</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．临床上最常见的痴呆类型为</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A．血管性痴呆</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B．帕金森病痴呆</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C．路易体痴呆</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D．额颞痴呆</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E．阿尔茨海默病</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与阿尔茨海默病发病密切相关的神经递质是</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A．5-羟色胺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B．多巴胺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C．乙酰胆碱</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D．肾上腺素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E．去甲肾上腺素</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．不属于阿尔茨海默病的病理表现</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A．老年斑</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B．神经原纤维缠结</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C．颗粒空泡变性</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D．Lewy小体</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E．胆碱能神经元丢失</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阿尔茨海默病最常见的早期表现为</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记忆力减退      B. 定向力障碍       C. 语言障碍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 运动障碍        E. 精神障碍</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 不属于胆碱酯酶抑制剂的是</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多奈哌齐      B. 美金刚      C. 加兰他敏</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E重酒石酸卡巴拉汀</w:t>
      </w:r>
    </w:p>
    <w:p>
      <w:pPr>
        <w:keepNext w:val="0"/>
        <w:keepLines w:val="0"/>
        <w:pageBreakBefore w:val="0"/>
        <w:widowControl w:val="0"/>
        <w:numPr>
          <w:ilvl w:val="0"/>
          <w:numId w:val="4"/>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阿尔茨海默病治疗首选药物是（）</w:t>
      </w:r>
    </w:p>
    <w:p>
      <w:pPr>
        <w:keepNext w:val="0"/>
        <w:keepLines w:val="0"/>
        <w:pageBreakBefore w:val="0"/>
        <w:widowControl w:val="0"/>
        <w:numPr>
          <w:ilvl w:val="0"/>
          <w:numId w:val="5"/>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改善脑循环和脑代谢的药物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B. 胆碱酯酶抑制剂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 抗胆碱能药物</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D.兴奋性氨基酸受体拮抗剂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E.神经生长因子</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 AD常用治疗药物中属于NMDA拮抗剂的是</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美金刚       B. 多奈哌齐      C. 加兰他敏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D. 卡巴拉汀    </w:t>
      </w:r>
      <w:bookmarkStart w:id="0" w:name="_GoBack"/>
      <w:bookmarkEnd w:id="0"/>
      <w:r>
        <w:rPr>
          <w:rFonts w:hint="eastAsia" w:ascii="仿宋_GB2312" w:hAnsi="仿宋_GB2312" w:eastAsia="仿宋_GB2312" w:cs="仿宋_GB2312"/>
          <w:sz w:val="32"/>
          <w:szCs w:val="32"/>
          <w:lang w:val="en-US" w:eastAsia="zh-CN"/>
        </w:rPr>
        <w:t xml:space="preserve"> E. 多巴胺</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9.主观认知下降，且客观测试证实认知障碍或精神行为改变，不影响日常生活能力，但对较复杂的日常生活产生可检测到轻度影响。上述描述属于</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临床前期          B. 轻度认知障碍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 轻度痴呆阶段      D.中度痴呆阶段</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 可作为阿尔茨海默病体液标记物的是</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脑脊液       B. 血液      C. 尿液  </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ind w:left="0" w:leftChars="0" w:firstLine="0" w:firstLineChars="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 唾液         E. 以上都可以</w:t>
      </w:r>
    </w:p>
    <w:p>
      <w:pPr>
        <w:keepNext w:val="0"/>
        <w:keepLines w:val="0"/>
        <w:pageBreakBefore w:val="0"/>
        <w:widowControl w:val="0"/>
        <w:numPr>
          <w:ilvl w:val="0"/>
          <w:numId w:val="0"/>
        </w:numPr>
        <w:kinsoku/>
        <w:wordWrap/>
        <w:overflowPunct/>
        <w:topLinePunct w:val="0"/>
        <w:autoSpaceDE/>
        <w:autoSpaceDN/>
        <w:bidi w:val="0"/>
        <w:adjustRightInd/>
        <w:snapToGrid/>
        <w:spacing w:after="156" w:line="590" w:lineRule="exact"/>
        <w:textAlignment w:val="baseline"/>
        <w:rPr>
          <w:rFonts w:hint="eastAsia" w:ascii="仿宋_GB2312" w:hAnsi="仿宋_GB2312" w:eastAsia="仿宋_GB2312" w:cs="仿宋_GB2312"/>
          <w:sz w:val="32"/>
          <w:szCs w:val="32"/>
          <w:lang w:val="en-US" w:eastAsia="zh-CN"/>
        </w:rPr>
      </w:pPr>
    </w:p>
    <w:p>
      <w:pPr>
        <w:numPr>
          <w:ilvl w:val="0"/>
          <w:numId w:val="0"/>
        </w:numPr>
        <w:spacing w:after="156" w:line="360" w:lineRule="auto"/>
        <w:ind w:left="0" w:leftChars="0" w:firstLine="0" w:firstLineChars="0"/>
        <w:textAlignment w:val="baseline"/>
        <w:rPr>
          <w:rFonts w:hint="default" w:ascii="Times New Roman" w:hAnsi="Times New Roman" w:eastAsia="宋体" w:cs="Times New Roman"/>
          <w:kern w:val="0"/>
          <w:sz w:val="24"/>
          <w:szCs w:val="24"/>
          <w:shd w:val="clear"/>
          <w:lang w:val="en-US" w:eastAsia="zh-CN"/>
        </w:rPr>
      </w:pPr>
    </w:p>
    <w:p>
      <w:pPr>
        <w:rPr>
          <w:rFonts w:hint="default"/>
          <w:sz w:val="24"/>
          <w:szCs w:val="24"/>
          <w:lang w:val="en-US" w:eastAsia="zh-CN"/>
        </w:rPr>
      </w:pPr>
    </w:p>
    <w:sectPr>
      <w:pgSz w:w="11906" w:h="16838"/>
      <w:pgMar w:top="1814" w:right="1587" w:bottom="1701" w:left="1587" w:header="851" w:footer="992" w:gutter="0"/>
      <w:cols w:space="0" w:num="1"/>
      <w:rtlGutter w:val="0"/>
      <w:docGrid w:type="lines" w:linePitch="33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Helvetica Neue">
    <w:altName w:val="Times New Roman"/>
    <w:panose1 w:val="02000503000000020004"/>
    <w:charset w:val="00"/>
    <w:family w:val="auto"/>
    <w:pitch w:val="default"/>
    <w:sig w:usb0="00000000" w:usb1="00000000" w:usb2="00000010" w:usb3="00000000" w:csb0="0000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65210"/>
    <w:multiLevelType w:val="singleLevel"/>
    <w:tmpl w:val="83C65210"/>
    <w:lvl w:ilvl="0" w:tentative="0">
      <w:start w:val="7"/>
      <w:numFmt w:val="decimal"/>
      <w:suff w:val="space"/>
      <w:lvlText w:val="%1."/>
      <w:lvlJc w:val="left"/>
    </w:lvl>
  </w:abstractNum>
  <w:abstractNum w:abstractNumId="1">
    <w:nsid w:val="A2125903"/>
    <w:multiLevelType w:val="singleLevel"/>
    <w:tmpl w:val="A2125903"/>
    <w:lvl w:ilvl="0" w:tentative="0">
      <w:start w:val="1"/>
      <w:numFmt w:val="decimal"/>
      <w:suff w:val="nothing"/>
      <w:lvlText w:val="%1．"/>
      <w:lvlJc w:val="left"/>
    </w:lvl>
  </w:abstractNum>
  <w:abstractNum w:abstractNumId="2">
    <w:nsid w:val="B0ADFA62"/>
    <w:multiLevelType w:val="singleLevel"/>
    <w:tmpl w:val="B0ADFA62"/>
    <w:lvl w:ilvl="0" w:tentative="0">
      <w:start w:val="2"/>
      <w:numFmt w:val="decimal"/>
      <w:suff w:val="nothing"/>
      <w:lvlText w:val="%1．"/>
      <w:lvlJc w:val="left"/>
    </w:lvl>
  </w:abstractNum>
  <w:abstractNum w:abstractNumId="3">
    <w:nsid w:val="E970A359"/>
    <w:multiLevelType w:val="singleLevel"/>
    <w:tmpl w:val="E970A359"/>
    <w:lvl w:ilvl="0" w:tentative="0">
      <w:start w:val="1"/>
      <w:numFmt w:val="upperLetter"/>
      <w:suff w:val="space"/>
      <w:lvlText w:val="%1."/>
      <w:lvlJc w:val="left"/>
    </w:lvl>
  </w:abstractNum>
  <w:abstractNum w:abstractNumId="4">
    <w:nsid w:val="52F70E33"/>
    <w:multiLevelType w:val="multilevel"/>
    <w:tmpl w:val="52F70E33"/>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mE2ZWJmM2RkM2I4YjQwM2FjMjkzN2EyMTE1MGUifQ=="/>
    <w:docVar w:name="KY_MEDREF_DOCUID" w:val="{08320700-F5D5-43FA-8EAB-E4758C5AE215}"/>
    <w:docVar w:name="KY_MEDREF_VERSION" w:val="3"/>
    <w:docVar w:name="NE.Ref{0ADA6215-B154-4C51-BE30-3CA2B5343F5D}" w:val=" ADDIN NE.Ref.{0ADA6215-B154-4C51-BE30-3CA2B5343F5D}"/>
    <w:docVar w:name="NE.Ref{206B5D29-0F7B-4276-9CA3-26089215E225}" w:val=" ADDIN NE.Ref.{206B5D29-0F7B-4276-9CA3-26089215E225}"/>
    <w:docVar w:name="NE.Ref{2A055337-9048-410D-8BDA-A3242F01E6B9}" w:val=" ADDIN NE.Ref.{2A055337-9048-410D-8BDA-A3242F01E6B9}"/>
    <w:docVar w:name="NE.Ref{2A3C664C-D69F-47D2-AEF8-97F0A51512E1}" w:val=" ADDIN NE.Ref.{2A3C664C-D69F-47D2-AEF8-97F0A51512E1}"/>
    <w:docVar w:name="NE.Ref{3AF403F4-7797-453A-9786-4F5B16C73CD9}" w:val=" ADDIN NE.Ref.{3AF403F4-7797-453A-9786-4F5B16C73CD9}"/>
    <w:docVar w:name="NE.Ref{3BE8EFE9-F687-4166-9EB6-AD2C3148CDDC}" w:val=" ADDIN NE.Ref.{3BE8EFE9-F687-4166-9EB6-AD2C3148CDDC}"/>
    <w:docVar w:name="NE.Ref{4D6B3493-0E9E-48D6-8AC7-9985329C2595}" w:val=" ADDIN NE.Ref.{4D6B3493-0E9E-48D6-8AC7-9985329C2595}"/>
    <w:docVar w:name="NE.Ref{562D5E33-BB5E-42DD-89E6-94FA5899533E}" w:val=" ADDIN NE.Ref.{562D5E33-BB5E-42DD-89E6-94FA5899533E}"/>
    <w:docVar w:name="NE.Ref{5797A5C3-30D8-4EF9-A0E9-2733D367A1CE}" w:val=" ADDIN NE.Ref.{5797A5C3-30D8-4EF9-A0E9-2733D367A1CE}"/>
    <w:docVar w:name="NE.Ref{6C2AD913-BCCA-4538-AD3A-17D1C7746225}" w:val=" ADDIN NE.Ref.{6C2AD913-BCCA-4538-AD3A-17D1C7746225}"/>
    <w:docVar w:name="NE.Ref{70745A72-D9C4-43E2-B278-2A60CDF5DCAB}" w:val=" ADDIN NE.Ref.{70745A72-D9C4-43E2-B278-2A60CDF5DCAB}"/>
    <w:docVar w:name="NE.Ref{8F203EF8-45D1-4646-AA39-03AE674CC5D4}" w:val=" ADDIN NE.Ref.{8F203EF8-45D1-4646-AA39-03AE674CC5D4}"/>
    <w:docVar w:name="NE.Ref{9FB0E0A9-4997-473A-BEA0-9B6998D42D2E}" w:val=" ADDIN NE.Ref.{9FB0E0A9-4997-473A-BEA0-9B6998D42D2E}"/>
    <w:docVar w:name="NE.Ref{A2F8C219-9FFA-4118-8023-A00E182C9F25}" w:val=" ADDIN NE.Ref.{A2F8C219-9FFA-4118-8023-A00E182C9F25}"/>
    <w:docVar w:name="NE.Ref{BDDA1817-EC8B-41BE-90A0-0E0B29C076FE}" w:val=" ADDIN NE.Ref.{BDDA1817-EC8B-41BE-90A0-0E0B29C076FE}"/>
    <w:docVar w:name="NE.Ref{DE38CFFD-851B-4C83-AACB-C7FD03CB2212}" w:val=" ADDIN NE.Ref.{DE38CFFD-851B-4C83-AACB-C7FD03CB2212}"/>
    <w:docVar w:name="NE.Ref{E4458703-E1C5-4134-BB44-017C39B10439}" w:val=" ADDIN NE.Ref.{E4458703-E1C5-4134-BB44-017C39B10439}"/>
    <w:docVar w:name="NE.Ref{E9CD40E7-95A5-4F3B-91A1-A80AF23A7AC3}" w:val=" ADDIN NE.Ref.{E9CD40E7-95A5-4F3B-91A1-A80AF23A7AC3}"/>
    <w:docVar w:name="NE.Ref{EBC6A876-3C08-4C6E-82B9-B92DF2968C5D}" w:val=" ADDIN NE.Ref.{EBC6A876-3C08-4C6E-82B9-B92DF2968C5D}"/>
    <w:docVar w:name="NE.Ref{F0F8170B-E566-4772-9FA1-EA515CB84B96}" w:val=" ADDIN NE.Ref.{F0F8170B-E566-4772-9FA1-EA515CB84B96}"/>
  </w:docVars>
  <w:rsids>
    <w:rsidRoot w:val="00000000"/>
    <w:rsid w:val="03221396"/>
    <w:rsid w:val="05704DD8"/>
    <w:rsid w:val="06985999"/>
    <w:rsid w:val="073C7023"/>
    <w:rsid w:val="07C8537F"/>
    <w:rsid w:val="0D2F5697"/>
    <w:rsid w:val="0D8853B5"/>
    <w:rsid w:val="0E0136B3"/>
    <w:rsid w:val="1C4E7F9D"/>
    <w:rsid w:val="1CAC41F5"/>
    <w:rsid w:val="1CB349D0"/>
    <w:rsid w:val="20246A45"/>
    <w:rsid w:val="220821C8"/>
    <w:rsid w:val="23C255E9"/>
    <w:rsid w:val="27DC6EEC"/>
    <w:rsid w:val="2B177351"/>
    <w:rsid w:val="2C552ED9"/>
    <w:rsid w:val="32577A94"/>
    <w:rsid w:val="32AB107A"/>
    <w:rsid w:val="332E1945"/>
    <w:rsid w:val="362044A2"/>
    <w:rsid w:val="3BD553B9"/>
    <w:rsid w:val="3DB71FEE"/>
    <w:rsid w:val="3F0A7158"/>
    <w:rsid w:val="4CC51979"/>
    <w:rsid w:val="4DB23C63"/>
    <w:rsid w:val="4DFE7677"/>
    <w:rsid w:val="531B1C55"/>
    <w:rsid w:val="54956B96"/>
    <w:rsid w:val="574C1591"/>
    <w:rsid w:val="594754DA"/>
    <w:rsid w:val="5CD864C5"/>
    <w:rsid w:val="5EA00C64"/>
    <w:rsid w:val="6284357F"/>
    <w:rsid w:val="637B5152"/>
    <w:rsid w:val="6986488B"/>
    <w:rsid w:val="6A2B5F25"/>
    <w:rsid w:val="70CC1166"/>
    <w:rsid w:val="739050D6"/>
    <w:rsid w:val="7AB049E1"/>
    <w:rsid w:val="7AC3298E"/>
    <w:rsid w:val="7B3B1BCA"/>
    <w:rsid w:val="7BB27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楷体" w:cs="楷体"/>
      <w:kern w:val="2"/>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99"/>
    <w:pPr>
      <w:jc w:val="left"/>
    </w:pPr>
    <w:rPr>
      <w:rFonts w:eastAsia="宋体" w:cs="Times New Roman"/>
      <w:sz w:val="21"/>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Emphasis"/>
    <w:basedOn w:val="5"/>
    <w:autoRedefine/>
    <w:qFormat/>
    <w:uiPriority w:val="0"/>
    <w:rPr>
      <w:i/>
    </w:rPr>
  </w:style>
  <w:style w:type="character" w:styleId="8">
    <w:name w:val="Hyperlink"/>
    <w:basedOn w:val="5"/>
    <w:autoRedefine/>
    <w:qFormat/>
    <w:uiPriority w:val="0"/>
    <w:rPr>
      <w:color w:val="0000FF"/>
      <w:u w:val="single"/>
    </w:rPr>
  </w:style>
  <w:style w:type="character" w:styleId="9">
    <w:name w:val="annotation reference"/>
    <w:autoRedefine/>
    <w:qFormat/>
    <w:uiPriority w:val="99"/>
    <w:rPr>
      <w:sz w:val="21"/>
      <w:szCs w:val="21"/>
    </w:rPr>
  </w:style>
  <w:style w:type="paragraph" w:customStyle="1" w:styleId="10">
    <w:name w:val="默认"/>
    <w:autoRedefine/>
    <w:qFormat/>
    <w:uiPriority w:val="0"/>
    <w:rPr>
      <w:rFonts w:ascii="Helvetica Neue" w:hAnsi="Helvetica Neue" w:eastAsia="Arial Unicode MS" w:cs="Arial Unicode MS"/>
      <w:color w:val="000000"/>
      <w:sz w:val="22"/>
      <w:szCs w:val="22"/>
      <w:lang w:val="zh-CN" w:eastAsia="zh-CN" w:bidi="ar-SA"/>
    </w:rPr>
  </w:style>
  <w:style w:type="character" w:customStyle="1" w:styleId="11">
    <w:name w:val="font21"/>
    <w:basedOn w:val="5"/>
    <w:autoRedefine/>
    <w:qFormat/>
    <w:uiPriority w:val="0"/>
    <w:rPr>
      <w:rFonts w:ascii="宋体" w:hAnsi="宋体" w:eastAsia="宋体" w:cs="宋体"/>
      <w:color w:val="000000"/>
      <w:sz w:val="14"/>
      <w:szCs w:val="14"/>
      <w:u w:val="none"/>
    </w:rPr>
  </w:style>
  <w:style w:type="paragraph" w:customStyle="1" w:styleId="12">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5655</Words>
  <Characters>6745</Characters>
  <Lines>0</Lines>
  <Paragraphs>0</Paragraphs>
  <TotalTime>141</TotalTime>
  <ScaleCrop>false</ScaleCrop>
  <LinksUpToDate>false</LinksUpToDate>
  <CharactersWithSpaces>6971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2024-01-22T09:04:38Z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726851D1398345B2ACD0BFEF17177B60_13</vt:lpwstr>
  </property>
</Properties>
</file>